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B8" w:rsidRPr="0037164A" w:rsidRDefault="00F721BA" w:rsidP="00F721BA">
      <w:pPr>
        <w:pStyle w:val="a5"/>
        <w:spacing w:after="57"/>
        <w:jc w:val="left"/>
        <w:rPr>
          <w:rFonts w:ascii="Times New Roman" w:hAnsi="Times New Roman" w:cs="Times New Roman"/>
          <w:sz w:val="24"/>
          <w:szCs w:val="24"/>
          <w:lang w:val="en-US"/>
        </w:rPr>
      </w:pPr>
      <w:r w:rsidRPr="00F721BA">
        <w:rPr>
          <w:rFonts w:ascii="Times New Roman" w:hAnsi="Times New Roman" w:cs="Times New Roman"/>
          <w:sz w:val="24"/>
          <w:szCs w:val="24"/>
          <w:lang w:val="en-US"/>
        </w:rPr>
        <w:t xml:space="preserve">                </w:t>
      </w:r>
      <w:r w:rsidR="00A237B8" w:rsidRPr="0037164A">
        <w:rPr>
          <w:rFonts w:ascii="Times New Roman" w:hAnsi="Times New Roman" w:cs="Times New Roman"/>
          <w:sz w:val="24"/>
          <w:szCs w:val="24"/>
          <w:lang w:val="en-US"/>
        </w:rPr>
        <w:t xml:space="preserve">INDIVIDUAL PSYCHOLOGICAL PREDICTORS OF THE ADAPTATION </w:t>
      </w:r>
    </w:p>
    <w:p w:rsidR="00A237B8" w:rsidRPr="0037164A" w:rsidRDefault="00A237B8" w:rsidP="00A237B8">
      <w:pPr>
        <w:pStyle w:val="a5"/>
        <w:spacing w:after="57"/>
        <w:rPr>
          <w:rFonts w:ascii="Times New Roman" w:hAnsi="Times New Roman" w:cs="Times New Roman"/>
          <w:sz w:val="24"/>
          <w:szCs w:val="24"/>
          <w:lang w:val="en-US"/>
        </w:rPr>
      </w:pPr>
      <w:r w:rsidRPr="0037164A">
        <w:rPr>
          <w:rFonts w:ascii="Times New Roman" w:hAnsi="Times New Roman" w:cs="Times New Roman"/>
          <w:sz w:val="24"/>
          <w:szCs w:val="24"/>
          <w:lang w:val="en-US"/>
        </w:rPr>
        <w:t>AND DISADAPTATION AMONG SPECIALISTS OF EXTREME PROFILE</w:t>
      </w:r>
    </w:p>
    <w:p w:rsidR="00A237B8" w:rsidRPr="0037164A" w:rsidRDefault="00A237B8" w:rsidP="00A237B8">
      <w:pPr>
        <w:pStyle w:val="a9"/>
        <w:spacing w:after="57"/>
        <w:rPr>
          <w:rFonts w:ascii="Times New Roman" w:hAnsi="Times New Roman" w:cs="Times New Roman"/>
          <w:lang w:val="en-US"/>
        </w:rPr>
      </w:pPr>
      <w:r w:rsidRPr="0037164A">
        <w:rPr>
          <w:rFonts w:ascii="Times New Roman" w:hAnsi="Times New Roman" w:cs="Times New Roman"/>
          <w:lang w:val="en-US"/>
        </w:rPr>
        <w:t xml:space="preserve">V. Yu. </w:t>
      </w:r>
      <w:proofErr w:type="spellStart"/>
      <w:r w:rsidRPr="0037164A">
        <w:rPr>
          <w:rFonts w:ascii="Times New Roman" w:hAnsi="Times New Roman" w:cs="Times New Roman"/>
          <w:lang w:val="en-US"/>
        </w:rPr>
        <w:t>Rybnikov</w:t>
      </w:r>
      <w:proofErr w:type="spellEnd"/>
      <w:r w:rsidRPr="0037164A">
        <w:rPr>
          <w:rFonts w:ascii="Times New Roman" w:hAnsi="Times New Roman" w:cs="Times New Roman"/>
          <w:lang w:val="en-US"/>
        </w:rPr>
        <w:t xml:space="preserve">, *A. A. Dubinsky, *V. G. </w:t>
      </w:r>
      <w:proofErr w:type="spellStart"/>
      <w:r w:rsidRPr="0037164A">
        <w:rPr>
          <w:rFonts w:ascii="Times New Roman" w:hAnsi="Times New Roman" w:cs="Times New Roman"/>
          <w:lang w:val="en-US"/>
        </w:rPr>
        <w:t>Bulygina</w:t>
      </w:r>
      <w:proofErr w:type="spellEnd"/>
    </w:p>
    <w:p w:rsidR="00A237B8" w:rsidRPr="0037164A" w:rsidRDefault="00A237B8" w:rsidP="00A237B8">
      <w:pPr>
        <w:pStyle w:val="a7"/>
        <w:rPr>
          <w:rFonts w:ascii="Times New Roman" w:hAnsi="Times New Roman" w:cs="Times New Roman"/>
          <w:sz w:val="24"/>
          <w:szCs w:val="24"/>
          <w:lang w:val="en-US"/>
        </w:rPr>
      </w:pPr>
      <w:proofErr w:type="spellStart"/>
      <w:r w:rsidRPr="0037164A">
        <w:rPr>
          <w:rFonts w:ascii="Times New Roman" w:hAnsi="Times New Roman" w:cs="Times New Roman"/>
          <w:sz w:val="24"/>
          <w:szCs w:val="24"/>
          <w:lang w:val="en-US"/>
        </w:rPr>
        <w:t>Nikiforov</w:t>
      </w:r>
      <w:proofErr w:type="spellEnd"/>
      <w:r w:rsidRPr="0037164A">
        <w:rPr>
          <w:rFonts w:ascii="Times New Roman" w:hAnsi="Times New Roman" w:cs="Times New Roman"/>
          <w:sz w:val="24"/>
          <w:szCs w:val="24"/>
          <w:lang w:val="en-US"/>
        </w:rPr>
        <w:t xml:space="preserve"> Russian Center of Emergency and Radiation Medicine, Saint Petersburg, Russia</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*V. </w:t>
      </w:r>
      <w:proofErr w:type="spellStart"/>
      <w:r w:rsidRPr="0037164A">
        <w:rPr>
          <w:rFonts w:ascii="Times New Roman" w:hAnsi="Times New Roman" w:cs="Times New Roman"/>
          <w:sz w:val="24"/>
          <w:szCs w:val="24"/>
          <w:lang w:val="en-US"/>
        </w:rPr>
        <w:t>Serbsky</w:t>
      </w:r>
      <w:proofErr w:type="spellEnd"/>
      <w:r w:rsidRPr="0037164A">
        <w:rPr>
          <w:rFonts w:ascii="Times New Roman" w:hAnsi="Times New Roman" w:cs="Times New Roman"/>
          <w:sz w:val="24"/>
          <w:szCs w:val="24"/>
          <w:lang w:val="en-US"/>
        </w:rPr>
        <w:t xml:space="preserve"> Federal Medical Research Centre for Psychiatry and </w:t>
      </w:r>
      <w:proofErr w:type="spellStart"/>
      <w:r w:rsidRPr="0037164A">
        <w:rPr>
          <w:rFonts w:ascii="Times New Roman" w:hAnsi="Times New Roman" w:cs="Times New Roman"/>
          <w:sz w:val="24"/>
          <w:szCs w:val="24"/>
          <w:lang w:val="en-US"/>
        </w:rPr>
        <w:t>Narcology</w:t>
      </w:r>
      <w:proofErr w:type="spellEnd"/>
      <w:r w:rsidRPr="0037164A">
        <w:rPr>
          <w:rFonts w:ascii="Times New Roman" w:hAnsi="Times New Roman" w:cs="Times New Roman"/>
          <w:sz w:val="24"/>
          <w:szCs w:val="24"/>
          <w:lang w:val="en-US"/>
        </w:rPr>
        <w:t xml:space="preserve"> of the Ministry of Health of the Russian Federation, Moscow, Russia</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The study results of individual and psychological predictors of adaptation and </w:t>
      </w:r>
      <w:proofErr w:type="spellStart"/>
      <w:r w:rsidRPr="0037164A">
        <w:rPr>
          <w:rFonts w:ascii="Times New Roman" w:hAnsi="Times New Roman" w:cs="Times New Roman"/>
          <w:sz w:val="24"/>
          <w:szCs w:val="24"/>
          <w:lang w:val="en-US"/>
        </w:rPr>
        <w:t>disadaptation</w:t>
      </w:r>
      <w:proofErr w:type="spellEnd"/>
      <w:r w:rsidRPr="0037164A">
        <w:rPr>
          <w:rFonts w:ascii="Times New Roman" w:hAnsi="Times New Roman" w:cs="Times New Roman"/>
          <w:sz w:val="24"/>
          <w:szCs w:val="24"/>
          <w:lang w:val="en-US"/>
        </w:rPr>
        <w:t xml:space="preserve"> in specialists of extreme profile are presented. The main group included 65 males – law enforcement agencies (Federal Service for the Execution of Sentences and the Ministry of Interior). The experimental group included 70 males, whose professional activity lied outside the extreme and emergency situations. Diagnostic complex included the following questionnaires: the formal and dynamic properties of individuality</w:t>
      </w:r>
      <w:r w:rsidRPr="0037164A">
        <w:rPr>
          <w:rFonts w:ascii="Times New Roman" w:hAnsi="Times New Roman" w:cs="Times New Roman"/>
          <w:sz w:val="24"/>
          <w:szCs w:val="24"/>
          <w:lang w:val="en-US"/>
        </w:rPr>
        <w:br/>
        <w:t xml:space="preserve">by V. M. </w:t>
      </w:r>
      <w:proofErr w:type="spellStart"/>
      <w:r w:rsidRPr="0037164A">
        <w:rPr>
          <w:rFonts w:ascii="Times New Roman" w:hAnsi="Times New Roman" w:cs="Times New Roman"/>
          <w:sz w:val="24"/>
          <w:szCs w:val="24"/>
          <w:lang w:val="en-US"/>
        </w:rPr>
        <w:t>Rusalov</w:t>
      </w:r>
      <w:proofErr w:type="spellEnd"/>
      <w:r w:rsidRPr="0037164A">
        <w:rPr>
          <w:rFonts w:ascii="Times New Roman" w:hAnsi="Times New Roman" w:cs="Times New Roman"/>
          <w:sz w:val="24"/>
          <w:szCs w:val="24"/>
          <w:lang w:val="en-US"/>
        </w:rPr>
        <w:t xml:space="preserve">; temperament character by G. </w:t>
      </w:r>
      <w:proofErr w:type="spellStart"/>
      <w:r w:rsidRPr="0037164A">
        <w:rPr>
          <w:rFonts w:ascii="Times New Roman" w:hAnsi="Times New Roman" w:cs="Times New Roman"/>
          <w:sz w:val="24"/>
          <w:szCs w:val="24"/>
          <w:lang w:val="en-US"/>
        </w:rPr>
        <w:t>Eysenk</w:t>
      </w:r>
      <w:proofErr w:type="spellEnd"/>
      <w:r w:rsidRPr="0037164A">
        <w:rPr>
          <w:rFonts w:ascii="Times New Roman" w:hAnsi="Times New Roman" w:cs="Times New Roman"/>
          <w:sz w:val="24"/>
          <w:szCs w:val="24"/>
          <w:lang w:val="en-US"/>
        </w:rPr>
        <w:t xml:space="preserve">; inventory of anxiousness by C. D. </w:t>
      </w:r>
      <w:proofErr w:type="spellStart"/>
      <w:r w:rsidRPr="0037164A">
        <w:rPr>
          <w:rFonts w:ascii="Times New Roman" w:hAnsi="Times New Roman" w:cs="Times New Roman"/>
          <w:sz w:val="24"/>
          <w:szCs w:val="24"/>
          <w:lang w:val="en-US"/>
        </w:rPr>
        <w:t>Spealberger</w:t>
      </w:r>
      <w:proofErr w:type="spellEnd"/>
      <w:r w:rsidRPr="0037164A">
        <w:rPr>
          <w:rFonts w:ascii="Times New Roman" w:hAnsi="Times New Roman" w:cs="Times New Roman"/>
          <w:sz w:val="24"/>
          <w:szCs w:val="24"/>
          <w:lang w:val="en-US"/>
        </w:rPr>
        <w:t xml:space="preserve">; «The style of </w:t>
      </w:r>
      <w:proofErr w:type="spellStart"/>
      <w:r w:rsidRPr="0037164A">
        <w:rPr>
          <w:rFonts w:ascii="Times New Roman" w:hAnsi="Times New Roman" w:cs="Times New Roman"/>
          <w:sz w:val="24"/>
          <w:szCs w:val="24"/>
          <w:lang w:val="en-US"/>
        </w:rPr>
        <w:t>self­regulation</w:t>
      </w:r>
      <w:proofErr w:type="spellEnd"/>
      <w:r w:rsidRPr="0037164A">
        <w:rPr>
          <w:rFonts w:ascii="Times New Roman" w:hAnsi="Times New Roman" w:cs="Times New Roman"/>
          <w:sz w:val="24"/>
          <w:szCs w:val="24"/>
          <w:lang w:val="en-US"/>
        </w:rPr>
        <w:t xml:space="preserve">» by V. I. </w:t>
      </w:r>
      <w:proofErr w:type="spellStart"/>
      <w:r w:rsidRPr="0037164A">
        <w:rPr>
          <w:rFonts w:ascii="Times New Roman" w:hAnsi="Times New Roman" w:cs="Times New Roman"/>
          <w:sz w:val="24"/>
          <w:szCs w:val="24"/>
          <w:lang w:val="en-US"/>
        </w:rPr>
        <w:t>Morosanova</w:t>
      </w:r>
      <w:proofErr w:type="spellEnd"/>
      <w:r w:rsidRPr="0037164A">
        <w:rPr>
          <w:rFonts w:ascii="Times New Roman" w:hAnsi="Times New Roman" w:cs="Times New Roman"/>
          <w:sz w:val="24"/>
          <w:szCs w:val="24"/>
          <w:lang w:val="en-US"/>
        </w:rPr>
        <w:t xml:space="preserve">; aggression questionnaire by Buss ­ Perry, </w:t>
      </w:r>
      <w:proofErr w:type="spellStart"/>
      <w:r w:rsidRPr="0037164A">
        <w:rPr>
          <w:rFonts w:ascii="Times New Roman" w:hAnsi="Times New Roman" w:cs="Times New Roman"/>
          <w:sz w:val="24"/>
          <w:szCs w:val="24"/>
          <w:lang w:val="en-US"/>
        </w:rPr>
        <w:t>self­control</w:t>
      </w:r>
      <w:proofErr w:type="spellEnd"/>
      <w:r w:rsidRPr="0037164A">
        <w:rPr>
          <w:rFonts w:ascii="Times New Roman" w:hAnsi="Times New Roman" w:cs="Times New Roman"/>
          <w:sz w:val="24"/>
          <w:szCs w:val="24"/>
          <w:lang w:val="en-US"/>
        </w:rPr>
        <w:t xml:space="preserve"> questionnaire by </w:t>
      </w:r>
      <w:proofErr w:type="spellStart"/>
      <w:r w:rsidRPr="0037164A">
        <w:rPr>
          <w:rFonts w:ascii="Times New Roman" w:hAnsi="Times New Roman" w:cs="Times New Roman"/>
          <w:sz w:val="24"/>
          <w:szCs w:val="24"/>
          <w:lang w:val="en-US"/>
        </w:rPr>
        <w:t>Grasmic</w:t>
      </w:r>
      <w:proofErr w:type="spellEnd"/>
      <w:r w:rsidRPr="0037164A">
        <w:rPr>
          <w:rFonts w:ascii="Times New Roman" w:hAnsi="Times New Roman" w:cs="Times New Roman"/>
          <w:sz w:val="24"/>
          <w:szCs w:val="24"/>
          <w:lang w:val="en-US"/>
        </w:rPr>
        <w:t>.</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It was found that the specialists of extreme profile were characterizes by higher rates of short­stopping behavior, psychomotor and communication tolerance and flexibility, psychomotor and intellectual speed, indexes of general activity and adaptability, extroversion, general level of </w:t>
      </w:r>
      <w:proofErr w:type="spellStart"/>
      <w:r w:rsidRPr="0037164A">
        <w:rPr>
          <w:rFonts w:ascii="Times New Roman" w:hAnsi="Times New Roman" w:cs="Times New Roman"/>
          <w:sz w:val="24"/>
          <w:szCs w:val="24"/>
          <w:lang w:val="en-US"/>
        </w:rPr>
        <w:t>self­regulation</w:t>
      </w:r>
      <w:proofErr w:type="spellEnd"/>
      <w:r w:rsidRPr="0037164A">
        <w:rPr>
          <w:rFonts w:ascii="Times New Roman" w:hAnsi="Times New Roman" w:cs="Times New Roman"/>
          <w:sz w:val="24"/>
          <w:szCs w:val="24"/>
          <w:lang w:val="en-US"/>
        </w:rPr>
        <w:t xml:space="preserve"> and the stages of </w:t>
      </w:r>
      <w:proofErr w:type="spellStart"/>
      <w:r w:rsidRPr="0037164A">
        <w:rPr>
          <w:rFonts w:ascii="Times New Roman" w:hAnsi="Times New Roman" w:cs="Times New Roman"/>
          <w:sz w:val="24"/>
          <w:szCs w:val="24"/>
          <w:lang w:val="en-US"/>
        </w:rPr>
        <w:t>self­regulation</w:t>
      </w:r>
      <w:proofErr w:type="spellEnd"/>
      <w:r w:rsidRPr="0037164A">
        <w:rPr>
          <w:rFonts w:ascii="Times New Roman" w:hAnsi="Times New Roman" w:cs="Times New Roman"/>
          <w:sz w:val="24"/>
          <w:szCs w:val="24"/>
          <w:lang w:val="en-US"/>
        </w:rPr>
        <w:t xml:space="preserve"> process, physical activity, physical assault , and lower rates of psychomotor, communicative and intellectual emotionality, state and personal anxiety, neuroticism, preferences for simple tasks and hostility. </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Based on the identified variable predictors associated with the length of service, 2 clusters were identified classifying the cases of high and low adaptability. The results of the analysis of significant differences in the selected clusters allowed determining significant </w:t>
      </w:r>
      <w:proofErr w:type="spellStart"/>
      <w:r w:rsidRPr="0037164A">
        <w:rPr>
          <w:rFonts w:ascii="Times New Roman" w:hAnsi="Times New Roman" w:cs="Times New Roman"/>
          <w:sz w:val="24"/>
          <w:szCs w:val="24"/>
          <w:lang w:val="en-US"/>
        </w:rPr>
        <w:t>adaptedness</w:t>
      </w:r>
      <w:proofErr w:type="spellEnd"/>
      <w:r w:rsidRPr="0037164A">
        <w:rPr>
          <w:rFonts w:ascii="Times New Roman" w:hAnsi="Times New Roman" w:cs="Times New Roman"/>
          <w:sz w:val="24"/>
          <w:szCs w:val="24"/>
          <w:lang w:val="en-US"/>
        </w:rPr>
        <w:t xml:space="preserve"> conditions. They are: higher indices of short­stopping behavior, psychomotor and communication tolerance, psychomotor, intellectual, communicative flexibility and physical activity speed. Less «adaptive» cluster was characterized by higher indices of psychomotor, intellectual, communicative emotionality, neuroticism, state and personal anxiety, and preferences of simple tasks. The predictive classification models of extreme profile specialists’ adaptation were constructed.  They included variable predictors: flexibility, communication tolerance, psychomotor, intellectual, communicative flexibility, psychomotor speed and total adaptability index.</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r w:rsidRPr="0037164A">
        <w:rPr>
          <w:rFonts w:ascii="Times New Roman" w:hAnsi="Times New Roman" w:cs="Times New Roman"/>
          <w:sz w:val="24"/>
          <w:szCs w:val="24"/>
          <w:lang w:val="en-US"/>
        </w:rPr>
        <w:t xml:space="preserve">adaptation, </w:t>
      </w:r>
      <w:proofErr w:type="spellStart"/>
      <w:r w:rsidRPr="0037164A">
        <w:rPr>
          <w:rFonts w:ascii="Times New Roman" w:hAnsi="Times New Roman" w:cs="Times New Roman"/>
          <w:sz w:val="24"/>
          <w:szCs w:val="24"/>
          <w:lang w:val="en-US"/>
        </w:rPr>
        <w:t>disadaptation</w:t>
      </w:r>
      <w:proofErr w:type="spellEnd"/>
      <w:r w:rsidRPr="0037164A">
        <w:rPr>
          <w:rFonts w:ascii="Times New Roman" w:hAnsi="Times New Roman" w:cs="Times New Roman"/>
          <w:sz w:val="24"/>
          <w:szCs w:val="24"/>
          <w:lang w:val="en-US"/>
        </w:rPr>
        <w:t>, specialists of extreme profile, individual and psychological peculiarities</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5"/>
        <w:spacing w:after="57"/>
        <w:rPr>
          <w:rFonts w:ascii="Times New Roman" w:hAnsi="Times New Roman" w:cs="Times New Roman"/>
          <w:sz w:val="24"/>
          <w:szCs w:val="24"/>
          <w:lang w:val="en-US"/>
        </w:rPr>
      </w:pPr>
      <w:r w:rsidRPr="0037164A">
        <w:rPr>
          <w:rFonts w:ascii="Times New Roman" w:hAnsi="Times New Roman" w:cs="Times New Roman"/>
          <w:sz w:val="24"/>
          <w:szCs w:val="24"/>
          <w:lang w:val="en-US"/>
        </w:rPr>
        <w:t>RATES OF BIOLOGICAL AGING AND ITS RELATIONSHIP TO NEUROPSYCHOLOGICAL PECULIARITIES IN PATIENTS WITH OCCUPATIONAL NEUROINTOXICATIONS</w:t>
      </w:r>
    </w:p>
    <w:p w:rsidR="00A237B8" w:rsidRPr="0037164A" w:rsidRDefault="00A237B8" w:rsidP="00A237B8">
      <w:pPr>
        <w:pStyle w:val="a6"/>
        <w:rPr>
          <w:rFonts w:ascii="Times New Roman" w:hAnsi="Times New Roman" w:cs="Times New Roman"/>
          <w:lang w:val="en-US"/>
        </w:rPr>
      </w:pPr>
      <w:proofErr w:type="gramStart"/>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O. I. Shevchenko, </w:t>
      </w:r>
      <w:r w:rsidRPr="0037164A">
        <w:rPr>
          <w:rFonts w:ascii="Times New Roman" w:hAnsi="Times New Roman" w:cs="Times New Roman"/>
          <w:vertAlign w:val="superscript"/>
          <w:lang w:val="en-US"/>
        </w:rPr>
        <w:t>1</w:t>
      </w:r>
      <w:r w:rsidRPr="0037164A">
        <w:rPr>
          <w:rFonts w:ascii="Times New Roman" w:hAnsi="Times New Roman" w:cs="Times New Roman"/>
          <w:lang w:val="en-US"/>
        </w:rPr>
        <w:t>E.</w:t>
      </w:r>
      <w:proofErr w:type="gramEnd"/>
      <w:r w:rsidRPr="0037164A">
        <w:rPr>
          <w:rFonts w:ascii="Times New Roman" w:hAnsi="Times New Roman" w:cs="Times New Roman"/>
          <w:lang w:val="en-US"/>
        </w:rPr>
        <w:t xml:space="preserve"> V. </w:t>
      </w:r>
      <w:proofErr w:type="spellStart"/>
      <w:r w:rsidRPr="0037164A">
        <w:rPr>
          <w:rFonts w:ascii="Times New Roman" w:hAnsi="Times New Roman" w:cs="Times New Roman"/>
          <w:lang w:val="en-US"/>
        </w:rPr>
        <w:t>Katamanov</w:t>
      </w:r>
      <w:proofErr w:type="spellEnd"/>
      <w:r w:rsidRPr="0037164A">
        <w:rPr>
          <w:rFonts w:ascii="Times New Roman" w:hAnsi="Times New Roman" w:cs="Times New Roman"/>
        </w:rPr>
        <w:t>а</w:t>
      </w:r>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1,2</w:t>
      </w:r>
      <w:r w:rsidRPr="0037164A">
        <w:rPr>
          <w:rFonts w:ascii="Times New Roman" w:hAnsi="Times New Roman" w:cs="Times New Roman"/>
          <w:lang w:val="en-US"/>
        </w:rPr>
        <w:t xml:space="preserve">O. L. </w:t>
      </w:r>
      <w:proofErr w:type="spellStart"/>
      <w:r w:rsidRPr="0037164A">
        <w:rPr>
          <w:rFonts w:ascii="Times New Roman" w:hAnsi="Times New Roman" w:cs="Times New Roman"/>
          <w:lang w:val="en-US"/>
        </w:rPr>
        <w:t>Lakhman</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 xml:space="preserve">Federal </w:t>
      </w:r>
      <w:proofErr w:type="spellStart"/>
      <w:r w:rsidRPr="0037164A">
        <w:rPr>
          <w:rFonts w:ascii="Times New Roman" w:hAnsi="Times New Roman" w:cs="Times New Roman"/>
          <w:sz w:val="24"/>
          <w:szCs w:val="24"/>
          <w:lang w:val="en-US"/>
        </w:rPr>
        <w:t>State­Budgetary</w:t>
      </w:r>
      <w:proofErr w:type="spellEnd"/>
      <w:r w:rsidRPr="0037164A">
        <w:rPr>
          <w:rFonts w:ascii="Times New Roman" w:hAnsi="Times New Roman" w:cs="Times New Roman"/>
          <w:sz w:val="24"/>
          <w:szCs w:val="24"/>
          <w:lang w:val="en-US"/>
        </w:rPr>
        <w:t xml:space="preserve"> Scientific Institution "</w:t>
      </w:r>
      <w:proofErr w:type="spellStart"/>
      <w:r w:rsidRPr="0037164A">
        <w:rPr>
          <w:rFonts w:ascii="Times New Roman" w:hAnsi="Times New Roman" w:cs="Times New Roman"/>
          <w:sz w:val="24"/>
          <w:szCs w:val="24"/>
          <w:lang w:val="en-US"/>
        </w:rPr>
        <w:t>East­Siberian</w:t>
      </w:r>
      <w:proofErr w:type="spellEnd"/>
      <w:r w:rsidRPr="0037164A">
        <w:rPr>
          <w:rFonts w:ascii="Times New Roman" w:hAnsi="Times New Roman" w:cs="Times New Roman"/>
          <w:sz w:val="24"/>
          <w:szCs w:val="24"/>
          <w:lang w:val="en-US"/>
        </w:rPr>
        <w:t xml:space="preserve"> Institute of Medical and Ecological Research", Angarsk</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Irkutsk State Medical Academy of Continuing Education, Irkutsk, Russia</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lastRenderedPageBreak/>
        <w:t xml:space="preserve">This paper presents a quantitative assessment of the aging process in the occupational </w:t>
      </w:r>
      <w:proofErr w:type="spellStart"/>
      <w:r w:rsidRPr="0037164A">
        <w:rPr>
          <w:rFonts w:ascii="Times New Roman" w:hAnsi="Times New Roman" w:cs="Times New Roman"/>
          <w:sz w:val="24"/>
          <w:szCs w:val="24"/>
          <w:lang w:val="en-US"/>
        </w:rPr>
        <w:t>neurotoxicosis</w:t>
      </w:r>
      <w:proofErr w:type="spellEnd"/>
      <w:r w:rsidRPr="0037164A">
        <w:rPr>
          <w:rFonts w:ascii="Times New Roman" w:hAnsi="Times New Roman" w:cs="Times New Roman"/>
          <w:sz w:val="24"/>
          <w:szCs w:val="24"/>
          <w:lang w:val="en-US"/>
        </w:rPr>
        <w:t xml:space="preserve">. Acceleration rate of biological aging has been demonstrated in trained workers of a chemical factory exposed to </w:t>
      </w:r>
      <w:proofErr w:type="spellStart"/>
      <w:r w:rsidRPr="0037164A">
        <w:rPr>
          <w:rFonts w:ascii="Times New Roman" w:hAnsi="Times New Roman" w:cs="Times New Roman"/>
          <w:sz w:val="24"/>
          <w:szCs w:val="24"/>
          <w:lang w:val="en-US"/>
        </w:rPr>
        <w:t>vinylchloride</w:t>
      </w:r>
      <w:proofErr w:type="spellEnd"/>
      <w:r w:rsidRPr="0037164A">
        <w:rPr>
          <w:rFonts w:ascii="Times New Roman" w:hAnsi="Times New Roman" w:cs="Times New Roman"/>
          <w:sz w:val="24"/>
          <w:szCs w:val="24"/>
          <w:lang w:val="en-US"/>
        </w:rPr>
        <w:t xml:space="preserve">, metallic mercury vapor in patients with newly proven diagnosis ­ chronic elemental mercury intoxication and chronic elemental mercury intoxication in the </w:t>
      </w:r>
      <w:proofErr w:type="spellStart"/>
      <w:r w:rsidRPr="0037164A">
        <w:rPr>
          <w:rFonts w:ascii="Times New Roman" w:hAnsi="Times New Roman" w:cs="Times New Roman"/>
          <w:sz w:val="24"/>
          <w:szCs w:val="24"/>
          <w:lang w:val="en-US"/>
        </w:rPr>
        <w:t>long­term</w:t>
      </w:r>
      <w:proofErr w:type="spellEnd"/>
      <w:r w:rsidRPr="0037164A">
        <w:rPr>
          <w:rFonts w:ascii="Times New Roman" w:hAnsi="Times New Roman" w:cs="Times New Roman"/>
          <w:sz w:val="24"/>
          <w:szCs w:val="24"/>
          <w:lang w:val="en-US"/>
        </w:rPr>
        <w:t xml:space="preserve"> period in 1.9; 2.8; 7.2; 7.5 times compared to the rate of a control group. </w:t>
      </w:r>
      <w:proofErr w:type="spellStart"/>
      <w:r w:rsidRPr="0037164A">
        <w:rPr>
          <w:rFonts w:ascii="Times New Roman" w:hAnsi="Times New Roman" w:cs="Times New Roman"/>
          <w:sz w:val="24"/>
          <w:szCs w:val="24"/>
          <w:lang w:val="en-US"/>
        </w:rPr>
        <w:t>Six­time</w:t>
      </w:r>
      <w:proofErr w:type="spellEnd"/>
      <w:r w:rsidRPr="0037164A">
        <w:rPr>
          <w:rFonts w:ascii="Times New Roman" w:hAnsi="Times New Roman" w:cs="Times New Roman"/>
          <w:sz w:val="24"/>
          <w:szCs w:val="24"/>
          <w:lang w:val="en-US"/>
        </w:rPr>
        <w:t xml:space="preserve"> increase in the proportion of patients with acceleration rate of aging compared to the norm (70 % vs. 12 %) has been found out among </w:t>
      </w:r>
      <w:proofErr w:type="spellStart"/>
      <w:r w:rsidRPr="0037164A">
        <w:rPr>
          <w:rFonts w:ascii="Times New Roman" w:hAnsi="Times New Roman" w:cs="Times New Roman"/>
          <w:sz w:val="24"/>
          <w:szCs w:val="24"/>
          <w:lang w:val="en-US"/>
        </w:rPr>
        <w:t>fireman­liquidators</w:t>
      </w:r>
      <w:proofErr w:type="spellEnd"/>
      <w:r w:rsidRPr="0037164A">
        <w:rPr>
          <w:rFonts w:ascii="Times New Roman" w:hAnsi="Times New Roman" w:cs="Times New Roman"/>
          <w:sz w:val="24"/>
          <w:szCs w:val="24"/>
          <w:lang w:val="en-US"/>
        </w:rPr>
        <w:t xml:space="preserve">. To study the interdependence of indicators characterizing the state of cognitive sphere and the rate of biological aging in patients with occupational </w:t>
      </w:r>
      <w:proofErr w:type="spellStart"/>
      <w:r w:rsidRPr="0037164A">
        <w:rPr>
          <w:rFonts w:ascii="Times New Roman" w:hAnsi="Times New Roman" w:cs="Times New Roman"/>
          <w:sz w:val="24"/>
          <w:szCs w:val="24"/>
          <w:lang w:val="en-US"/>
        </w:rPr>
        <w:t>neurointoxication</w:t>
      </w:r>
      <w:proofErr w:type="spellEnd"/>
      <w:r w:rsidRPr="0037164A">
        <w:rPr>
          <w:rFonts w:ascii="Times New Roman" w:hAnsi="Times New Roman" w:cs="Times New Roman"/>
          <w:sz w:val="24"/>
          <w:szCs w:val="24"/>
          <w:lang w:val="en-US"/>
        </w:rPr>
        <w:t xml:space="preserve"> a correlation analysis of the data of neuropsychological and clinical and physiological studies has been carried out. Raising of biological age and acceleration rate of biological aging in patients with </w:t>
      </w:r>
      <w:proofErr w:type="spellStart"/>
      <w:r w:rsidRPr="0037164A">
        <w:rPr>
          <w:rFonts w:ascii="Times New Roman" w:hAnsi="Times New Roman" w:cs="Times New Roman"/>
          <w:sz w:val="24"/>
          <w:szCs w:val="24"/>
          <w:lang w:val="en-US"/>
        </w:rPr>
        <w:t>neurointoxications</w:t>
      </w:r>
      <w:proofErr w:type="spellEnd"/>
      <w:r w:rsidRPr="0037164A">
        <w:rPr>
          <w:rFonts w:ascii="Times New Roman" w:hAnsi="Times New Roman" w:cs="Times New Roman"/>
          <w:sz w:val="24"/>
          <w:szCs w:val="24"/>
          <w:lang w:val="en-US"/>
        </w:rPr>
        <w:t xml:space="preserve"> are accompanied by disorders of </w:t>
      </w:r>
      <w:proofErr w:type="spellStart"/>
      <w:r w:rsidRPr="0037164A">
        <w:rPr>
          <w:rFonts w:ascii="Times New Roman" w:hAnsi="Times New Roman" w:cs="Times New Roman"/>
          <w:sz w:val="24"/>
          <w:szCs w:val="24"/>
          <w:lang w:val="en-US"/>
        </w:rPr>
        <w:t>categoric</w:t>
      </w:r>
      <w:proofErr w:type="spellEnd"/>
      <w:r w:rsidRPr="0037164A">
        <w:rPr>
          <w:rFonts w:ascii="Times New Roman" w:hAnsi="Times New Roman" w:cs="Times New Roman"/>
          <w:sz w:val="24"/>
          <w:szCs w:val="24"/>
          <w:lang w:val="en-US"/>
        </w:rPr>
        <w:t xml:space="preserve">, conceptual, analytical ­ </w:t>
      </w:r>
      <w:proofErr w:type="spellStart"/>
      <w:r w:rsidRPr="0037164A">
        <w:rPr>
          <w:rFonts w:ascii="Times New Roman" w:hAnsi="Times New Roman" w:cs="Times New Roman"/>
          <w:sz w:val="24"/>
          <w:szCs w:val="24"/>
          <w:lang w:val="en-US"/>
        </w:rPr>
        <w:t>synthetical</w:t>
      </w:r>
      <w:proofErr w:type="spellEnd"/>
      <w:r w:rsidRPr="0037164A">
        <w:rPr>
          <w:rFonts w:ascii="Times New Roman" w:hAnsi="Times New Roman" w:cs="Times New Roman"/>
          <w:sz w:val="24"/>
          <w:szCs w:val="24"/>
          <w:lang w:val="en-US"/>
        </w:rPr>
        <w:t xml:space="preserve"> thinking, </w:t>
      </w:r>
      <w:proofErr w:type="spellStart"/>
      <w:r w:rsidRPr="0037164A">
        <w:rPr>
          <w:rFonts w:ascii="Times New Roman" w:hAnsi="Times New Roman" w:cs="Times New Roman"/>
          <w:sz w:val="24"/>
          <w:szCs w:val="24"/>
          <w:lang w:val="en-US"/>
        </w:rPr>
        <w:t>audio­verbal</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short­term</w:t>
      </w:r>
      <w:proofErr w:type="spellEnd"/>
      <w:r w:rsidRPr="0037164A">
        <w:rPr>
          <w:rFonts w:ascii="Times New Roman" w:hAnsi="Times New Roman" w:cs="Times New Roman"/>
          <w:sz w:val="24"/>
          <w:szCs w:val="24"/>
          <w:lang w:val="en-US"/>
        </w:rPr>
        <w:t xml:space="preserve">) and the visual image memory, spatial and dynamic praxis, objective gnosis, impressive and expressive speech, caused by deficiency of functioning of the frontal, </w:t>
      </w:r>
      <w:proofErr w:type="spellStart"/>
      <w:r w:rsidRPr="0037164A">
        <w:rPr>
          <w:rFonts w:ascii="Times New Roman" w:hAnsi="Times New Roman" w:cs="Times New Roman"/>
          <w:sz w:val="24"/>
          <w:szCs w:val="24"/>
          <w:lang w:val="en-US"/>
        </w:rPr>
        <w:t>parietal­temporal</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parietal­occipital</w:t>
      </w:r>
      <w:proofErr w:type="spellEnd"/>
      <w:r w:rsidRPr="0037164A">
        <w:rPr>
          <w:rFonts w:ascii="Times New Roman" w:hAnsi="Times New Roman" w:cs="Times New Roman"/>
          <w:sz w:val="24"/>
          <w:szCs w:val="24"/>
          <w:lang w:val="en-US"/>
        </w:rPr>
        <w:t xml:space="preserve"> lobes, </w:t>
      </w:r>
      <w:proofErr w:type="spellStart"/>
      <w:r w:rsidRPr="0037164A">
        <w:rPr>
          <w:rFonts w:ascii="Times New Roman" w:hAnsi="Times New Roman" w:cs="Times New Roman"/>
          <w:sz w:val="24"/>
          <w:szCs w:val="24"/>
          <w:lang w:val="en-US"/>
        </w:rPr>
        <w:t>premotor</w:t>
      </w:r>
      <w:proofErr w:type="spellEnd"/>
      <w:r w:rsidRPr="0037164A">
        <w:rPr>
          <w:rFonts w:ascii="Times New Roman" w:hAnsi="Times New Roman" w:cs="Times New Roman"/>
          <w:sz w:val="24"/>
          <w:szCs w:val="24"/>
          <w:lang w:val="en-US"/>
        </w:rPr>
        <w:t xml:space="preserve"> and parietal regions of the left brain, overlap zone (tertiary </w:t>
      </w:r>
      <w:proofErr w:type="spellStart"/>
      <w:r w:rsidRPr="0037164A">
        <w:rPr>
          <w:rFonts w:ascii="Times New Roman" w:hAnsi="Times New Roman" w:cs="Times New Roman"/>
          <w:sz w:val="24"/>
          <w:szCs w:val="24"/>
          <w:lang w:val="en-US"/>
        </w:rPr>
        <w:t>temporo­parietal­occipital</w:t>
      </w:r>
      <w:proofErr w:type="spellEnd"/>
      <w:r w:rsidRPr="0037164A">
        <w:rPr>
          <w:rFonts w:ascii="Times New Roman" w:hAnsi="Times New Roman" w:cs="Times New Roman"/>
          <w:sz w:val="24"/>
          <w:szCs w:val="24"/>
          <w:lang w:val="en-US"/>
        </w:rPr>
        <w:t xml:space="preserve"> cortex).</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r w:rsidRPr="0037164A">
        <w:rPr>
          <w:rFonts w:ascii="Times New Roman" w:hAnsi="Times New Roman" w:cs="Times New Roman"/>
          <w:sz w:val="24"/>
          <w:szCs w:val="24"/>
          <w:lang w:val="en-US"/>
        </w:rPr>
        <w:t xml:space="preserve">occupational </w:t>
      </w:r>
      <w:proofErr w:type="spellStart"/>
      <w:r w:rsidRPr="0037164A">
        <w:rPr>
          <w:rFonts w:ascii="Times New Roman" w:hAnsi="Times New Roman" w:cs="Times New Roman"/>
          <w:sz w:val="24"/>
          <w:szCs w:val="24"/>
          <w:lang w:val="en-US"/>
        </w:rPr>
        <w:t>neurointoxication</w:t>
      </w:r>
      <w:proofErr w:type="spellEnd"/>
      <w:r w:rsidRPr="0037164A">
        <w:rPr>
          <w:rFonts w:ascii="Times New Roman" w:hAnsi="Times New Roman" w:cs="Times New Roman"/>
          <w:sz w:val="24"/>
          <w:szCs w:val="24"/>
          <w:lang w:val="en-US"/>
        </w:rPr>
        <w:t xml:space="preserve">, rate of biological aging, exposure to </w:t>
      </w:r>
      <w:proofErr w:type="spellStart"/>
      <w:r w:rsidRPr="0037164A">
        <w:rPr>
          <w:rFonts w:ascii="Times New Roman" w:hAnsi="Times New Roman" w:cs="Times New Roman"/>
          <w:sz w:val="24"/>
          <w:szCs w:val="24"/>
          <w:lang w:val="en-US"/>
        </w:rPr>
        <w:t>neurotropic</w:t>
      </w:r>
      <w:proofErr w:type="spellEnd"/>
      <w:r w:rsidRPr="0037164A">
        <w:rPr>
          <w:rFonts w:ascii="Times New Roman" w:hAnsi="Times New Roman" w:cs="Times New Roman"/>
          <w:sz w:val="24"/>
          <w:szCs w:val="24"/>
          <w:lang w:val="en-US"/>
        </w:rPr>
        <w:t xml:space="preserve"> toxic substances, cognitive disorders</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t>LENGTH OF EMPLOYMENT AS A RISK FACTO</w:t>
      </w:r>
      <w:r w:rsidR="00F721BA">
        <w:rPr>
          <w:rFonts w:ascii="Times New Roman" w:hAnsi="Times New Roman" w:cs="Times New Roman"/>
          <w:sz w:val="24"/>
          <w:szCs w:val="24"/>
          <w:lang w:val="en-US"/>
        </w:rPr>
        <w:t>R FOR HEALTH PROBLEMS IN MINERS</w:t>
      </w:r>
      <w:r w:rsidR="00F721BA" w:rsidRPr="00F721BA">
        <w:rPr>
          <w:rFonts w:ascii="Times New Roman" w:hAnsi="Times New Roman" w:cs="Times New Roman"/>
          <w:sz w:val="24"/>
          <w:szCs w:val="24"/>
          <w:lang w:val="en-US"/>
        </w:rPr>
        <w:t xml:space="preserve"> </w:t>
      </w:r>
      <w:r w:rsidRPr="0037164A">
        <w:rPr>
          <w:rFonts w:ascii="Times New Roman" w:hAnsi="Times New Roman" w:cs="Times New Roman"/>
          <w:sz w:val="24"/>
          <w:szCs w:val="24"/>
          <w:lang w:val="en-US"/>
        </w:rPr>
        <w:t>OF THE KOLA POLAR REGION</w:t>
      </w:r>
    </w:p>
    <w:p w:rsidR="00A237B8" w:rsidRPr="0037164A" w:rsidRDefault="00A237B8" w:rsidP="00A237B8">
      <w:pPr>
        <w:pStyle w:val="a6"/>
        <w:rPr>
          <w:rFonts w:ascii="Times New Roman" w:hAnsi="Times New Roman" w:cs="Times New Roman"/>
          <w:lang w:val="en-US"/>
        </w:rPr>
      </w:pPr>
      <w:r w:rsidRPr="0037164A">
        <w:rPr>
          <w:rFonts w:ascii="Times New Roman" w:hAnsi="Times New Roman" w:cs="Times New Roman"/>
          <w:lang w:val="en-US"/>
        </w:rPr>
        <w:t xml:space="preserve">S. A. </w:t>
      </w:r>
      <w:proofErr w:type="spellStart"/>
      <w:r w:rsidRPr="0037164A">
        <w:rPr>
          <w:rFonts w:ascii="Times New Roman" w:hAnsi="Times New Roman" w:cs="Times New Roman"/>
          <w:lang w:val="en-US"/>
        </w:rPr>
        <w:t>Syurin</w:t>
      </w:r>
      <w:proofErr w:type="spellEnd"/>
      <w:r w:rsidRPr="0037164A">
        <w:rPr>
          <w:rFonts w:ascii="Times New Roman" w:hAnsi="Times New Roman" w:cs="Times New Roman"/>
          <w:lang w:val="en-US"/>
        </w:rPr>
        <w:t xml:space="preserve">, B. A. </w:t>
      </w:r>
      <w:proofErr w:type="spellStart"/>
      <w:r w:rsidRPr="0037164A">
        <w:rPr>
          <w:rFonts w:ascii="Times New Roman" w:hAnsi="Times New Roman" w:cs="Times New Roman"/>
          <w:lang w:val="en-US"/>
        </w:rPr>
        <w:t>Skripal</w:t>
      </w:r>
      <w:proofErr w:type="spellEnd"/>
      <w:r w:rsidRPr="0037164A">
        <w:rPr>
          <w:rFonts w:ascii="Times New Roman" w:hAnsi="Times New Roman" w:cs="Times New Roman"/>
          <w:lang w:val="en-US"/>
        </w:rPr>
        <w:t xml:space="preserve">, A. N. </w:t>
      </w:r>
      <w:proofErr w:type="spellStart"/>
      <w:r w:rsidRPr="0037164A">
        <w:rPr>
          <w:rFonts w:ascii="Times New Roman" w:hAnsi="Times New Roman" w:cs="Times New Roman"/>
          <w:lang w:val="en-US"/>
        </w:rPr>
        <w:t>Nikanov</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Northwest Public Health Research Center, </w:t>
      </w:r>
      <w:proofErr w:type="spellStart"/>
      <w:r w:rsidRPr="0037164A">
        <w:rPr>
          <w:rFonts w:ascii="Times New Roman" w:hAnsi="Times New Roman" w:cs="Times New Roman"/>
          <w:sz w:val="24"/>
          <w:szCs w:val="24"/>
          <w:lang w:val="en-US"/>
        </w:rPr>
        <w:t>Saint­Petersburg</w:t>
      </w:r>
      <w:proofErr w:type="spellEnd"/>
      <w:r w:rsidRPr="0037164A">
        <w:rPr>
          <w:rFonts w:ascii="Times New Roman" w:hAnsi="Times New Roman" w:cs="Times New Roman"/>
          <w:sz w:val="24"/>
          <w:szCs w:val="24"/>
          <w:lang w:val="en-US"/>
        </w:rPr>
        <w:t>, Russia</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It is known that an increase in the exposure duration of occupational hazards associated with the extraction of ore raw </w:t>
      </w:r>
      <w:proofErr w:type="gramStart"/>
      <w:r w:rsidRPr="0037164A">
        <w:rPr>
          <w:rFonts w:ascii="Times New Roman" w:hAnsi="Times New Roman" w:cs="Times New Roman"/>
          <w:sz w:val="24"/>
          <w:szCs w:val="24"/>
          <w:lang w:val="en-US"/>
        </w:rPr>
        <w:t>materials negatively influences</w:t>
      </w:r>
      <w:proofErr w:type="gramEnd"/>
      <w:r w:rsidRPr="0037164A">
        <w:rPr>
          <w:rFonts w:ascii="Times New Roman" w:hAnsi="Times New Roman" w:cs="Times New Roman"/>
          <w:sz w:val="24"/>
          <w:szCs w:val="24"/>
          <w:lang w:val="en-US"/>
        </w:rPr>
        <w:t xml:space="preserve"> miners’ health.  The purpose was to study the peculiarities of employment length influence on the health disorders formation in 1558 underground apatite miners in the Kola Polar region. It was found that length of employment which exceeded</w:t>
      </w:r>
      <w:r w:rsidRPr="0037164A">
        <w:rPr>
          <w:rFonts w:ascii="Times New Roman" w:hAnsi="Times New Roman" w:cs="Times New Roman"/>
          <w:sz w:val="24"/>
          <w:szCs w:val="24"/>
          <w:lang w:val="en-US"/>
        </w:rPr>
        <w:br/>
        <w:t xml:space="preserve">3 years was a significant risk factor for health problems in apatite miners in the Kola Polar region. Comparison of different </w:t>
      </w:r>
      <w:proofErr w:type="spellStart"/>
      <w:r w:rsidRPr="0037164A">
        <w:rPr>
          <w:rFonts w:ascii="Times New Roman" w:hAnsi="Times New Roman" w:cs="Times New Roman"/>
          <w:sz w:val="24"/>
          <w:szCs w:val="24"/>
          <w:lang w:val="en-US"/>
        </w:rPr>
        <w:t>five­year</w:t>
      </w:r>
      <w:proofErr w:type="spellEnd"/>
      <w:r w:rsidRPr="0037164A">
        <w:rPr>
          <w:rFonts w:ascii="Times New Roman" w:hAnsi="Times New Roman" w:cs="Times New Roman"/>
          <w:sz w:val="24"/>
          <w:szCs w:val="24"/>
          <w:lang w:val="en-US"/>
        </w:rPr>
        <w:t xml:space="preserve"> employment periods (≤5 years to 20 years) has showed that after every five years there had been a decrease in the number of healthy individuals and an increase in the number of cases in one employee. The earliest (length ≤5 years) pathological changes affected the musculoskeletal system, while the cardiovascular and nervous disorders </w:t>
      </w:r>
      <w:proofErr w:type="spellStart"/>
      <w:r w:rsidRPr="0037164A">
        <w:rPr>
          <w:rFonts w:ascii="Times New Roman" w:hAnsi="Times New Roman" w:cs="Times New Roman"/>
          <w:sz w:val="24"/>
          <w:szCs w:val="24"/>
          <w:lang w:val="en-US"/>
        </w:rPr>
        <w:t>occured</w:t>
      </w:r>
      <w:proofErr w:type="spellEnd"/>
      <w:r w:rsidRPr="0037164A">
        <w:rPr>
          <w:rFonts w:ascii="Times New Roman" w:hAnsi="Times New Roman" w:cs="Times New Roman"/>
          <w:sz w:val="24"/>
          <w:szCs w:val="24"/>
          <w:lang w:val="en-US"/>
        </w:rPr>
        <w:t xml:space="preserve"> at a later stage of a professional career (11­15 years of service). In general, the most evident negative dynamics in the miners’ state of health developed within the first 15 years of service. With increasing seniority, risks for musculoskeletal (RR = 1.80; CI, 1.55­2.10), cardiovascular (RR = 4.14; CI 3</w:t>
      </w:r>
      <w:proofErr w:type="gramStart"/>
      <w:r w:rsidRPr="0037164A">
        <w:rPr>
          <w:rFonts w:ascii="Times New Roman" w:hAnsi="Times New Roman" w:cs="Times New Roman"/>
          <w:sz w:val="24"/>
          <w:szCs w:val="24"/>
          <w:lang w:val="en-US"/>
        </w:rPr>
        <w:t>,14­5,47</w:t>
      </w:r>
      <w:proofErr w:type="gramEnd"/>
      <w:r w:rsidRPr="0037164A">
        <w:rPr>
          <w:rFonts w:ascii="Times New Roman" w:hAnsi="Times New Roman" w:cs="Times New Roman"/>
          <w:sz w:val="24"/>
          <w:szCs w:val="24"/>
          <w:lang w:val="en-US"/>
        </w:rPr>
        <w:t>) and nervous (RR = 3.34; CI 1,78­6,28) diseases increase significantly. The conclusion:  there is a necessity to use active targeted prevention of musculoskeletal, cardiovascular and nervous diseases at the earliest stages of miners′ professional careers in the Kola Polar region.</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Keywords:</w:t>
      </w:r>
      <w:r w:rsidRPr="0037164A">
        <w:rPr>
          <w:rFonts w:ascii="Times New Roman" w:hAnsi="Times New Roman" w:cs="Times New Roman"/>
          <w:sz w:val="24"/>
          <w:szCs w:val="24"/>
          <w:lang w:val="en-US"/>
        </w:rPr>
        <w:t xml:space="preserve"> length of service, health, miners, Kola Polar region</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lastRenderedPageBreak/>
        <w:t>PRESENT ALTERNATIVE STUDY METHODS USED IN PRODUCT SAFETY ASSESSMENT</w:t>
      </w:r>
    </w:p>
    <w:p w:rsidR="00A237B8" w:rsidRPr="0037164A" w:rsidRDefault="00A237B8" w:rsidP="00A237B8">
      <w:pPr>
        <w:pStyle w:val="a6"/>
        <w:rPr>
          <w:rFonts w:ascii="Times New Roman" w:hAnsi="Times New Roman" w:cs="Times New Roman"/>
          <w:lang w:val="en-US"/>
        </w:rPr>
      </w:pPr>
      <w:proofErr w:type="gramStart"/>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E. V. </w:t>
      </w:r>
      <w:proofErr w:type="spellStart"/>
      <w:r w:rsidRPr="0037164A">
        <w:rPr>
          <w:rFonts w:ascii="Times New Roman" w:hAnsi="Times New Roman" w:cs="Times New Roman"/>
          <w:lang w:val="en-US"/>
        </w:rPr>
        <w:t>Zaritskaya</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1,2</w:t>
      </w:r>
      <w:r w:rsidRPr="0037164A">
        <w:rPr>
          <w:rFonts w:ascii="Times New Roman" w:hAnsi="Times New Roman" w:cs="Times New Roman"/>
          <w:lang w:val="en-US"/>
        </w:rPr>
        <w:t>E.</w:t>
      </w:r>
      <w:proofErr w:type="gramEnd"/>
      <w:r w:rsidRPr="0037164A">
        <w:rPr>
          <w:rFonts w:ascii="Times New Roman" w:hAnsi="Times New Roman" w:cs="Times New Roman"/>
          <w:lang w:val="en-US"/>
        </w:rPr>
        <w:t xml:space="preserve"> V. </w:t>
      </w:r>
      <w:proofErr w:type="spellStart"/>
      <w:r w:rsidRPr="0037164A">
        <w:rPr>
          <w:rFonts w:ascii="Times New Roman" w:hAnsi="Times New Roman" w:cs="Times New Roman"/>
          <w:lang w:val="en-US"/>
        </w:rPr>
        <w:t>Polozova</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1,2</w:t>
      </w:r>
      <w:r w:rsidRPr="0037164A">
        <w:rPr>
          <w:rFonts w:ascii="Times New Roman" w:hAnsi="Times New Roman" w:cs="Times New Roman"/>
          <w:lang w:val="en-US"/>
        </w:rPr>
        <w:t xml:space="preserve">V. V. </w:t>
      </w:r>
      <w:proofErr w:type="spellStart"/>
      <w:r w:rsidRPr="0037164A">
        <w:rPr>
          <w:rFonts w:ascii="Times New Roman" w:hAnsi="Times New Roman" w:cs="Times New Roman"/>
          <w:lang w:val="en-US"/>
        </w:rPr>
        <w:t>Shilov</w:t>
      </w:r>
      <w:proofErr w:type="spellEnd"/>
      <w:r w:rsidRPr="0037164A">
        <w:rPr>
          <w:rFonts w:ascii="Times New Roman" w:hAnsi="Times New Roman" w:cs="Times New Roman"/>
          <w:lang w:val="en-US"/>
        </w:rPr>
        <w:t>,</w:t>
      </w:r>
      <w:r w:rsidRPr="0037164A">
        <w:rPr>
          <w:rFonts w:ascii="Times New Roman" w:hAnsi="Times New Roman" w:cs="Times New Roman"/>
          <w:vertAlign w:val="superscript"/>
          <w:lang w:val="en-US"/>
        </w:rPr>
        <w:t xml:space="preserve"> 1</w:t>
      </w:r>
      <w:proofErr w:type="gramStart"/>
      <w:r w:rsidRPr="0037164A">
        <w:rPr>
          <w:rFonts w:ascii="Times New Roman" w:hAnsi="Times New Roman" w:cs="Times New Roman"/>
          <w:vertAlign w:val="superscript"/>
          <w:lang w:val="en-US"/>
        </w:rPr>
        <w:t>,2</w:t>
      </w:r>
      <w:proofErr w:type="gramEnd"/>
      <w:r w:rsidRPr="0037164A">
        <w:rPr>
          <w:rFonts w:ascii="Times New Roman" w:hAnsi="Times New Roman" w:cs="Times New Roman"/>
          <w:vertAlign w:val="superscript"/>
          <w:lang w:val="en-US"/>
        </w:rPr>
        <w:t xml:space="preserve"> </w:t>
      </w:r>
      <w:r w:rsidRPr="0037164A">
        <w:rPr>
          <w:rFonts w:ascii="Times New Roman" w:hAnsi="Times New Roman" w:cs="Times New Roman"/>
          <w:lang w:val="en-US"/>
        </w:rPr>
        <w:t xml:space="preserve">A. S. </w:t>
      </w:r>
      <w:proofErr w:type="spellStart"/>
      <w:r w:rsidRPr="0037164A">
        <w:rPr>
          <w:rFonts w:ascii="Times New Roman" w:hAnsi="Times New Roman" w:cs="Times New Roman"/>
          <w:lang w:val="en-US"/>
        </w:rPr>
        <w:t>Bogacheva</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 xml:space="preserve">North­West Public Health Research Center, </w:t>
      </w:r>
      <w:proofErr w:type="spellStart"/>
      <w:r w:rsidRPr="0037164A">
        <w:rPr>
          <w:rFonts w:ascii="Times New Roman" w:hAnsi="Times New Roman" w:cs="Times New Roman"/>
          <w:sz w:val="24"/>
          <w:szCs w:val="24"/>
          <w:lang w:val="en-US"/>
        </w:rPr>
        <w:t>Saint­Petersburg</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 xml:space="preserve">North­Western State Medical University named after I. I. </w:t>
      </w:r>
      <w:proofErr w:type="spellStart"/>
      <w:r w:rsidRPr="0037164A">
        <w:rPr>
          <w:rFonts w:ascii="Times New Roman" w:hAnsi="Times New Roman" w:cs="Times New Roman"/>
          <w:sz w:val="24"/>
          <w:szCs w:val="24"/>
          <w:lang w:val="en-US"/>
        </w:rPr>
        <w:t>Mechnikov</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Saint­Petersburg</w:t>
      </w:r>
      <w:proofErr w:type="spellEnd"/>
      <w:r w:rsidRPr="0037164A">
        <w:rPr>
          <w:rFonts w:ascii="Times New Roman" w:hAnsi="Times New Roman" w:cs="Times New Roman"/>
          <w:sz w:val="24"/>
          <w:szCs w:val="24"/>
          <w:lang w:val="en-US"/>
        </w:rPr>
        <w:t>, Russia</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Alternative toxicological methods used in Russia to assess safety of food and non­food products have been reviewed. Along with traditional toxicological methods of monitoring various alternative toxicological study techniques are used to assess product safety. Those are methods using biological </w:t>
      </w:r>
      <w:proofErr w:type="spellStart"/>
      <w:r w:rsidRPr="0037164A">
        <w:rPr>
          <w:rFonts w:ascii="Times New Roman" w:hAnsi="Times New Roman" w:cs="Times New Roman"/>
          <w:sz w:val="24"/>
          <w:szCs w:val="24"/>
          <w:lang w:val="en-US"/>
        </w:rPr>
        <w:t>test­objects</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so­called</w:t>
      </w:r>
      <w:proofErr w:type="spellEnd"/>
      <w:r w:rsidRPr="0037164A">
        <w:rPr>
          <w:rFonts w:ascii="Times New Roman" w:hAnsi="Times New Roman" w:cs="Times New Roman"/>
          <w:sz w:val="24"/>
          <w:szCs w:val="24"/>
          <w:lang w:val="en-US"/>
        </w:rPr>
        <w:t xml:space="preserve"> biological test methods, or in vitro methods which are allowed to be used from the legislative viewpoint. Alternative toxicological methods are based on risk degree assessment of the studied object by response of living organisms (</w:t>
      </w:r>
      <w:proofErr w:type="spellStart"/>
      <w:r w:rsidRPr="0037164A">
        <w:rPr>
          <w:rFonts w:ascii="Times New Roman" w:hAnsi="Times New Roman" w:cs="Times New Roman"/>
          <w:sz w:val="24"/>
          <w:szCs w:val="24"/>
          <w:lang w:val="en-US"/>
        </w:rPr>
        <w:t>test­objects</w:t>
      </w:r>
      <w:proofErr w:type="spellEnd"/>
      <w:r w:rsidRPr="0037164A">
        <w:rPr>
          <w:rFonts w:ascii="Times New Roman" w:hAnsi="Times New Roman" w:cs="Times New Roman"/>
          <w:sz w:val="24"/>
          <w:szCs w:val="24"/>
          <w:lang w:val="en-US"/>
        </w:rPr>
        <w:t xml:space="preserve">) to adverse factor exposure. Information resulting from applied </w:t>
      </w:r>
      <w:proofErr w:type="spellStart"/>
      <w:r w:rsidRPr="0037164A">
        <w:rPr>
          <w:rFonts w:ascii="Times New Roman" w:hAnsi="Times New Roman" w:cs="Times New Roman"/>
          <w:sz w:val="24"/>
          <w:szCs w:val="24"/>
          <w:lang w:val="en-US"/>
        </w:rPr>
        <w:t>bio­testing</w:t>
      </w:r>
      <w:proofErr w:type="spellEnd"/>
      <w:r w:rsidRPr="0037164A">
        <w:rPr>
          <w:rFonts w:ascii="Times New Roman" w:hAnsi="Times New Roman" w:cs="Times New Roman"/>
          <w:sz w:val="24"/>
          <w:szCs w:val="24"/>
          <w:lang w:val="en-US"/>
        </w:rPr>
        <w:t xml:space="preserve"> methods represents combined toxic effect of all toxicants present in the given medium and their simultaneous presence. When assessing product safety by toxicological indices using alternative biological models, general toxic and irritating effects are to be studied and the </w:t>
      </w:r>
      <w:proofErr w:type="spellStart"/>
      <w:r w:rsidRPr="0037164A">
        <w:rPr>
          <w:rFonts w:ascii="Times New Roman" w:hAnsi="Times New Roman" w:cs="Times New Roman"/>
          <w:sz w:val="24"/>
          <w:szCs w:val="24"/>
          <w:lang w:val="en-US"/>
        </w:rPr>
        <w:t>test­objects</w:t>
      </w:r>
      <w:proofErr w:type="spellEnd"/>
      <w:r w:rsidRPr="0037164A">
        <w:rPr>
          <w:rFonts w:ascii="Times New Roman" w:hAnsi="Times New Roman" w:cs="Times New Roman"/>
          <w:sz w:val="24"/>
          <w:szCs w:val="24"/>
          <w:lang w:val="en-US"/>
        </w:rPr>
        <w:t xml:space="preserve"> are cattle semen, luminescent bacteria, chick egg </w:t>
      </w:r>
      <w:proofErr w:type="spellStart"/>
      <w:r w:rsidRPr="0037164A">
        <w:rPr>
          <w:rFonts w:ascii="Times New Roman" w:hAnsi="Times New Roman" w:cs="Times New Roman"/>
          <w:sz w:val="24"/>
          <w:szCs w:val="24"/>
          <w:lang w:val="en-US"/>
        </w:rPr>
        <w:t>chorioallantoic</w:t>
      </w:r>
      <w:proofErr w:type="spellEnd"/>
      <w:r w:rsidRPr="0037164A">
        <w:rPr>
          <w:rFonts w:ascii="Times New Roman" w:hAnsi="Times New Roman" w:cs="Times New Roman"/>
          <w:sz w:val="24"/>
          <w:szCs w:val="24"/>
          <w:lang w:val="en-US"/>
        </w:rPr>
        <w:t xml:space="preserve"> membrane, human and animal cell cultures and isolated organs. In vitro methods with cattle semen and luminescent bacteria playing the role of </w:t>
      </w:r>
      <w:proofErr w:type="spellStart"/>
      <w:r w:rsidRPr="0037164A">
        <w:rPr>
          <w:rFonts w:ascii="Times New Roman" w:hAnsi="Times New Roman" w:cs="Times New Roman"/>
          <w:sz w:val="24"/>
          <w:szCs w:val="24"/>
          <w:lang w:val="en-US"/>
        </w:rPr>
        <w:t>test­objects</w:t>
      </w:r>
      <w:proofErr w:type="spellEnd"/>
      <w:r w:rsidRPr="0037164A">
        <w:rPr>
          <w:rFonts w:ascii="Times New Roman" w:hAnsi="Times New Roman" w:cs="Times New Roman"/>
          <w:sz w:val="24"/>
          <w:szCs w:val="24"/>
          <w:lang w:val="en-US"/>
        </w:rPr>
        <w:t xml:space="preserve"> are also used to assess alcohol product toxicity, in particular spirits and vodkas. Thus, alternative study methods are widely known and commonly used in practice to prove safety of consumer goods and </w:t>
      </w:r>
      <w:proofErr w:type="spellStart"/>
      <w:r w:rsidRPr="0037164A">
        <w:rPr>
          <w:rFonts w:ascii="Times New Roman" w:hAnsi="Times New Roman" w:cs="Times New Roman"/>
          <w:sz w:val="24"/>
          <w:szCs w:val="24"/>
          <w:lang w:val="en-US"/>
        </w:rPr>
        <w:t>alcohol­containing</w:t>
      </w:r>
      <w:proofErr w:type="spellEnd"/>
      <w:r w:rsidRPr="0037164A">
        <w:rPr>
          <w:rFonts w:ascii="Times New Roman" w:hAnsi="Times New Roman" w:cs="Times New Roman"/>
          <w:sz w:val="24"/>
          <w:szCs w:val="24"/>
          <w:lang w:val="en-US"/>
        </w:rPr>
        <w:t xml:space="preserve"> foodstuffs.</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proofErr w:type="spellStart"/>
      <w:r w:rsidRPr="0037164A">
        <w:rPr>
          <w:rFonts w:ascii="Times New Roman" w:hAnsi="Times New Roman" w:cs="Times New Roman"/>
          <w:sz w:val="24"/>
          <w:szCs w:val="24"/>
          <w:lang w:val="en-US"/>
        </w:rPr>
        <w:t>biotesting</w:t>
      </w:r>
      <w:proofErr w:type="spellEnd"/>
      <w:r w:rsidRPr="0037164A">
        <w:rPr>
          <w:rFonts w:ascii="Times New Roman" w:hAnsi="Times New Roman" w:cs="Times New Roman"/>
          <w:sz w:val="24"/>
          <w:szCs w:val="24"/>
          <w:lang w:val="en-US"/>
        </w:rPr>
        <w:t xml:space="preserve">, adverse factors, toxicity, biological </w:t>
      </w:r>
      <w:proofErr w:type="spellStart"/>
      <w:r w:rsidRPr="0037164A">
        <w:rPr>
          <w:rFonts w:ascii="Times New Roman" w:hAnsi="Times New Roman" w:cs="Times New Roman"/>
          <w:sz w:val="24"/>
          <w:szCs w:val="24"/>
          <w:lang w:val="en-US"/>
        </w:rPr>
        <w:t>test­object</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test­response</w:t>
      </w:r>
      <w:proofErr w:type="spellEnd"/>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d"/>
        <w:rPr>
          <w:lang w:val="ru-RU"/>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t>SELENIUM STATUS OF PRESCHOOL CHILDREN IN YAROSLAVL REGION</w:t>
      </w:r>
    </w:p>
    <w:p w:rsidR="00A237B8" w:rsidRPr="0037164A" w:rsidRDefault="00A237B8" w:rsidP="00A237B8">
      <w:pPr>
        <w:pStyle w:val="a6"/>
        <w:rPr>
          <w:rFonts w:ascii="Times New Roman" w:hAnsi="Times New Roman" w:cs="Times New Roman"/>
          <w:lang w:val="en-US"/>
        </w:rPr>
      </w:pPr>
      <w:r w:rsidRPr="0037164A">
        <w:rPr>
          <w:rFonts w:ascii="Times New Roman" w:hAnsi="Times New Roman" w:cs="Times New Roman"/>
          <w:lang w:val="en-US"/>
        </w:rPr>
        <w:t xml:space="preserve">E. A. </w:t>
      </w:r>
      <w:proofErr w:type="spellStart"/>
      <w:r w:rsidRPr="0037164A">
        <w:rPr>
          <w:rFonts w:ascii="Times New Roman" w:hAnsi="Times New Roman" w:cs="Times New Roman"/>
          <w:lang w:val="en-US"/>
        </w:rPr>
        <w:t>Bakaeva</w:t>
      </w:r>
      <w:proofErr w:type="spellEnd"/>
      <w:r w:rsidRPr="0037164A">
        <w:rPr>
          <w:rFonts w:ascii="Times New Roman" w:hAnsi="Times New Roman" w:cs="Times New Roman"/>
          <w:lang w:val="en-US"/>
        </w:rPr>
        <w:t xml:space="preserve">, A. V. </w:t>
      </w:r>
      <w:proofErr w:type="spellStart"/>
      <w:r w:rsidRPr="0037164A">
        <w:rPr>
          <w:rFonts w:ascii="Times New Roman" w:hAnsi="Times New Roman" w:cs="Times New Roman"/>
          <w:lang w:val="en-US"/>
        </w:rPr>
        <w:t>Eremeyshvili</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P. G. </w:t>
      </w:r>
      <w:proofErr w:type="spellStart"/>
      <w:r w:rsidRPr="0037164A">
        <w:rPr>
          <w:rFonts w:ascii="Times New Roman" w:hAnsi="Times New Roman" w:cs="Times New Roman"/>
          <w:sz w:val="24"/>
          <w:szCs w:val="24"/>
          <w:lang w:val="en-US"/>
        </w:rPr>
        <w:t>Demidov</w:t>
      </w:r>
      <w:proofErr w:type="spellEnd"/>
      <w:r w:rsidRPr="0037164A">
        <w:rPr>
          <w:rFonts w:ascii="Times New Roman" w:hAnsi="Times New Roman" w:cs="Times New Roman"/>
          <w:sz w:val="24"/>
          <w:szCs w:val="24"/>
          <w:lang w:val="en-US"/>
        </w:rPr>
        <w:t xml:space="preserve"> Yaroslavl State University, Yaroslavl, Russia</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The article presents the assessment results of the selenium status of children living in Yaroslavl city which is situated in a selenium deficient area of the European part of Russia. Hair samples of 201 preschool children (1­6 </w:t>
      </w:r>
      <w:proofErr w:type="spellStart"/>
      <w:proofErr w:type="gramStart"/>
      <w:r w:rsidRPr="0037164A">
        <w:rPr>
          <w:rFonts w:ascii="Times New Roman" w:hAnsi="Times New Roman" w:cs="Times New Roman"/>
          <w:sz w:val="24"/>
          <w:szCs w:val="24"/>
          <w:lang w:val="en-US"/>
        </w:rPr>
        <w:t>year­old</w:t>
      </w:r>
      <w:proofErr w:type="spellEnd"/>
      <w:r w:rsidRPr="0037164A">
        <w:rPr>
          <w:rFonts w:ascii="Times New Roman" w:hAnsi="Times New Roman" w:cs="Times New Roman"/>
          <w:sz w:val="24"/>
          <w:szCs w:val="24"/>
          <w:lang w:val="en-US"/>
        </w:rPr>
        <w:t xml:space="preserve"> )</w:t>
      </w:r>
      <w:proofErr w:type="gramEnd"/>
      <w:r w:rsidRPr="0037164A">
        <w:rPr>
          <w:rFonts w:ascii="Times New Roman" w:hAnsi="Times New Roman" w:cs="Times New Roman"/>
          <w:sz w:val="24"/>
          <w:szCs w:val="24"/>
          <w:lang w:val="en-US"/>
        </w:rPr>
        <w:t xml:space="preserve"> were collected in 2011­2015. </w:t>
      </w:r>
      <w:proofErr w:type="spellStart"/>
      <w:r w:rsidRPr="0037164A">
        <w:rPr>
          <w:rFonts w:ascii="Times New Roman" w:hAnsi="Times New Roman" w:cs="Times New Roman"/>
          <w:sz w:val="24"/>
          <w:szCs w:val="24"/>
          <w:lang w:val="en-US"/>
        </w:rPr>
        <w:t>Bio­substrate</w:t>
      </w:r>
      <w:proofErr w:type="spellEnd"/>
      <w:r w:rsidRPr="0037164A">
        <w:rPr>
          <w:rFonts w:ascii="Times New Roman" w:hAnsi="Times New Roman" w:cs="Times New Roman"/>
          <w:sz w:val="24"/>
          <w:szCs w:val="24"/>
          <w:lang w:val="en-US"/>
        </w:rPr>
        <w:t xml:space="preserve"> analysis has revealed that median of the essential selenium content in the hair of 1­3 </w:t>
      </w:r>
      <w:proofErr w:type="spellStart"/>
      <w:r w:rsidRPr="0037164A">
        <w:rPr>
          <w:rFonts w:ascii="Times New Roman" w:hAnsi="Times New Roman" w:cs="Times New Roman"/>
          <w:sz w:val="24"/>
          <w:szCs w:val="24"/>
          <w:lang w:val="en-US"/>
        </w:rPr>
        <w:t>year­old</w:t>
      </w:r>
      <w:proofErr w:type="spellEnd"/>
      <w:r w:rsidRPr="0037164A">
        <w:rPr>
          <w:rFonts w:ascii="Times New Roman" w:hAnsi="Times New Roman" w:cs="Times New Roman"/>
          <w:sz w:val="24"/>
          <w:szCs w:val="24"/>
          <w:lang w:val="en-US"/>
        </w:rPr>
        <w:t xml:space="preserve"> children was 0,67 µg/g, of 4­6­year­old children ­ 0,78 µg/g, which was at the lower edge of the </w:t>
      </w:r>
      <w:proofErr w:type="spellStart"/>
      <w:r w:rsidRPr="0037164A">
        <w:rPr>
          <w:rFonts w:ascii="Times New Roman" w:hAnsi="Times New Roman" w:cs="Times New Roman"/>
          <w:sz w:val="24"/>
          <w:szCs w:val="24"/>
          <w:lang w:val="en-US"/>
        </w:rPr>
        <w:t>centile</w:t>
      </w:r>
      <w:proofErr w:type="spellEnd"/>
      <w:r w:rsidRPr="0037164A">
        <w:rPr>
          <w:rFonts w:ascii="Times New Roman" w:hAnsi="Times New Roman" w:cs="Times New Roman"/>
          <w:sz w:val="24"/>
          <w:szCs w:val="24"/>
          <w:lang w:val="en-US"/>
        </w:rPr>
        <w:t xml:space="preserve"> intervals for the central part of Russia. 46 % of the surveyed children had low hair selenium content. Additionally, in order to study the role of drinking water in supply of children’s body with selenium, concentration of this micro­element in drinking water of the examined preschools was determined. Besides, average daily dose of selenium ingestion with drinking water has been calculated. As a result, it was stated that selenium ingestion with drinking water in preschool children’s organism in Yaroslavl was lower than 1% of the essential daily demand.</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r w:rsidRPr="0037164A">
        <w:rPr>
          <w:rFonts w:ascii="Times New Roman" w:hAnsi="Times New Roman" w:cs="Times New Roman"/>
          <w:sz w:val="24"/>
          <w:szCs w:val="24"/>
          <w:lang w:val="en-US"/>
        </w:rPr>
        <w:t xml:space="preserve">children, </w:t>
      </w:r>
      <w:proofErr w:type="spellStart"/>
      <w:r w:rsidRPr="0037164A">
        <w:rPr>
          <w:rFonts w:ascii="Times New Roman" w:hAnsi="Times New Roman" w:cs="Times New Roman"/>
          <w:sz w:val="24"/>
          <w:szCs w:val="24"/>
          <w:lang w:val="en-US"/>
        </w:rPr>
        <w:t>bio­substrates</w:t>
      </w:r>
      <w:proofErr w:type="spellEnd"/>
      <w:r w:rsidRPr="0037164A">
        <w:rPr>
          <w:rFonts w:ascii="Times New Roman" w:hAnsi="Times New Roman" w:cs="Times New Roman"/>
          <w:sz w:val="24"/>
          <w:szCs w:val="24"/>
          <w:lang w:val="en-US"/>
        </w:rPr>
        <w:t>, selenium, drinking water</w:t>
      </w:r>
    </w:p>
    <w:p w:rsidR="00A237B8" w:rsidRPr="0037164A" w:rsidRDefault="00A237B8" w:rsidP="00A237B8">
      <w:pPr>
        <w:pStyle w:val="a8"/>
        <w:rPr>
          <w:rFonts w:ascii="Times New Roman" w:hAnsi="Times New Roman" w:cs="Times New Roman"/>
          <w:sz w:val="24"/>
          <w:szCs w:val="24"/>
          <w:lang w:val="en-US"/>
        </w:rPr>
      </w:pPr>
    </w:p>
    <w:p w:rsidR="00F721BA" w:rsidRDefault="00F721BA" w:rsidP="00A237B8">
      <w:pPr>
        <w:pStyle w:val="a5"/>
        <w:rPr>
          <w:rFonts w:ascii="Times New Roman" w:hAnsi="Times New Roman" w:cs="Times New Roman"/>
          <w:sz w:val="24"/>
          <w:szCs w:val="24"/>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lastRenderedPageBreak/>
        <w:t>FEATURES OF HEART RATE VARIABILITY IN WORKERS OF MINING PRODUCTION</w:t>
      </w:r>
      <w:r w:rsidRPr="0037164A">
        <w:rPr>
          <w:rFonts w:ascii="Times New Roman" w:hAnsi="Times New Roman" w:cs="Times New Roman"/>
          <w:sz w:val="24"/>
          <w:szCs w:val="24"/>
          <w:lang w:val="en-US"/>
        </w:rPr>
        <w:br/>
        <w:t>OF THE KOLA POLAR REGION</w:t>
      </w:r>
    </w:p>
    <w:p w:rsidR="00A237B8" w:rsidRPr="0037164A" w:rsidRDefault="00A237B8" w:rsidP="00A237B8">
      <w:pPr>
        <w:pStyle w:val="a6"/>
        <w:rPr>
          <w:rFonts w:ascii="Times New Roman" w:hAnsi="Times New Roman" w:cs="Times New Roman"/>
          <w:lang w:val="en-US"/>
        </w:rPr>
      </w:pPr>
      <w:r w:rsidRPr="0037164A">
        <w:rPr>
          <w:rFonts w:ascii="Times New Roman" w:hAnsi="Times New Roman" w:cs="Times New Roman"/>
          <w:lang w:val="en-US"/>
        </w:rPr>
        <w:t xml:space="preserve">A. A. Martynova, S. V. </w:t>
      </w:r>
      <w:proofErr w:type="spellStart"/>
      <w:r w:rsidRPr="0037164A">
        <w:rPr>
          <w:rFonts w:ascii="Times New Roman" w:hAnsi="Times New Roman" w:cs="Times New Roman"/>
          <w:lang w:val="en-US"/>
        </w:rPr>
        <w:t>Pryanichnikov</w:t>
      </w:r>
      <w:proofErr w:type="spellEnd"/>
      <w:r w:rsidRPr="0037164A">
        <w:rPr>
          <w:rFonts w:ascii="Times New Roman" w:hAnsi="Times New Roman" w:cs="Times New Roman"/>
          <w:lang w:val="en-US"/>
        </w:rPr>
        <w:t xml:space="preserve">, R. E. </w:t>
      </w:r>
      <w:proofErr w:type="spellStart"/>
      <w:r w:rsidRPr="0037164A">
        <w:rPr>
          <w:rFonts w:ascii="Times New Roman" w:hAnsi="Times New Roman" w:cs="Times New Roman"/>
          <w:lang w:val="en-US"/>
        </w:rPr>
        <w:t>Mikhailov</w:t>
      </w:r>
      <w:proofErr w:type="spellEnd"/>
      <w:r w:rsidRPr="0037164A">
        <w:rPr>
          <w:rFonts w:ascii="Times New Roman" w:hAnsi="Times New Roman" w:cs="Times New Roman"/>
          <w:lang w:val="en-US"/>
        </w:rPr>
        <w:t xml:space="preserve">, N. K. </w:t>
      </w:r>
      <w:proofErr w:type="spellStart"/>
      <w:r w:rsidRPr="0037164A">
        <w:rPr>
          <w:rFonts w:ascii="Times New Roman" w:hAnsi="Times New Roman" w:cs="Times New Roman"/>
          <w:lang w:val="en-US"/>
        </w:rPr>
        <w:t>Belisheva</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Kola Science Centre of Russian Academy of Sciences, </w:t>
      </w:r>
      <w:proofErr w:type="spellStart"/>
      <w:r w:rsidRPr="0037164A">
        <w:rPr>
          <w:rFonts w:ascii="Times New Roman" w:hAnsi="Times New Roman" w:cs="Times New Roman"/>
          <w:sz w:val="24"/>
          <w:szCs w:val="24"/>
          <w:lang w:val="en-US"/>
        </w:rPr>
        <w:t>Apatity</w:t>
      </w:r>
      <w:proofErr w:type="spellEnd"/>
      <w:r w:rsidRPr="0037164A">
        <w:rPr>
          <w:rFonts w:ascii="Times New Roman" w:hAnsi="Times New Roman" w:cs="Times New Roman"/>
          <w:sz w:val="24"/>
          <w:szCs w:val="24"/>
          <w:lang w:val="en-US"/>
        </w:rPr>
        <w:t>, Russia</w:t>
      </w:r>
    </w:p>
    <w:p w:rsidR="00A237B8" w:rsidRPr="0037164A" w:rsidRDefault="00A237B8" w:rsidP="00A237B8">
      <w:pPr>
        <w:pStyle w:val="ad"/>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The article provides the evaluation results of the body functional state of mining production workers associated with the extraction and processing of </w:t>
      </w:r>
      <w:proofErr w:type="spellStart"/>
      <w:r w:rsidRPr="0037164A">
        <w:rPr>
          <w:rFonts w:ascii="Times New Roman" w:hAnsi="Times New Roman" w:cs="Times New Roman"/>
          <w:sz w:val="24"/>
          <w:szCs w:val="24"/>
          <w:lang w:val="en-US"/>
        </w:rPr>
        <w:t>loparite</w:t>
      </w:r>
      <w:proofErr w:type="spellEnd"/>
      <w:r w:rsidRPr="0037164A">
        <w:rPr>
          <w:rFonts w:ascii="Times New Roman" w:hAnsi="Times New Roman" w:cs="Times New Roman"/>
          <w:sz w:val="24"/>
          <w:szCs w:val="24"/>
          <w:lang w:val="en-US"/>
        </w:rPr>
        <w:t xml:space="preserve"> ore. The complex influence of the work conditions on appearance of autonomic dysfunction in the regulation of heart rate variability (HRV) was revealed in workers employed in the ore mining and processing. This dysfunction manifests in the stress indices increasing, earlier exhaustion of the adaptive reserves in comparison to the experimental group, decrease of the total autonomic nerve system effect on heart rate and the increase of the sympathetic nerve system impact to the HRV regulation. High contribution of the very </w:t>
      </w:r>
      <w:proofErr w:type="spellStart"/>
      <w:r w:rsidRPr="0037164A">
        <w:rPr>
          <w:rFonts w:ascii="Times New Roman" w:hAnsi="Times New Roman" w:cs="Times New Roman"/>
          <w:sz w:val="24"/>
          <w:szCs w:val="24"/>
          <w:lang w:val="en-US"/>
        </w:rPr>
        <w:t>low­frequency</w:t>
      </w:r>
      <w:proofErr w:type="spellEnd"/>
      <w:r w:rsidRPr="0037164A">
        <w:rPr>
          <w:rFonts w:ascii="Times New Roman" w:hAnsi="Times New Roman" w:cs="Times New Roman"/>
          <w:sz w:val="24"/>
          <w:szCs w:val="24"/>
          <w:lang w:val="en-US"/>
        </w:rPr>
        <w:t xml:space="preserve"> component to the spectral range of HRV of the surveyed shows the hyper adaptive state of the mining production workers. The failure of adaptation and a high degree of vulnerability to the environmental factors are the next stage of the body state. It was shown that the functional state of the body of underground miners (in the group of persons under 45 years of age) differed from functional state of ground workers. Furthermore the systolic and diastolic pressure were higher in a group of persons over 45 years old associated with underground work  and work with high personal responsibility for production than in the group of persons working in the ground conditions. The obtained results showed that certain values of the HRV in miners group aged &lt;45 years were typical for the older age group.</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r w:rsidRPr="0037164A">
        <w:rPr>
          <w:rFonts w:ascii="Times New Roman" w:hAnsi="Times New Roman" w:cs="Times New Roman"/>
          <w:sz w:val="24"/>
          <w:szCs w:val="24"/>
          <w:lang w:val="en-US"/>
        </w:rPr>
        <w:t>functional state of the body, employees of mining production, the Arctic and the work environment, heart rate variability, age features</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rPr>
          <w:rFonts w:ascii="Times New Roman" w:hAnsi="Times New Roman" w:cs="Times New Roman"/>
          <w:sz w:val="24"/>
          <w:szCs w:val="24"/>
        </w:rPr>
      </w:pPr>
    </w:p>
    <w:p w:rsidR="00A237B8" w:rsidRPr="0037164A" w:rsidRDefault="00A237B8" w:rsidP="00F721BA">
      <w:pPr>
        <w:pStyle w:val="a5"/>
        <w:jc w:val="left"/>
        <w:rPr>
          <w:rFonts w:ascii="Times New Roman" w:hAnsi="Times New Roman" w:cs="Times New Roman"/>
          <w:sz w:val="24"/>
          <w:szCs w:val="24"/>
          <w:lang w:val="en-US"/>
        </w:rPr>
      </w:pPr>
      <w:r w:rsidRPr="0037164A">
        <w:rPr>
          <w:rFonts w:ascii="Times New Roman" w:hAnsi="Times New Roman" w:cs="Times New Roman"/>
          <w:sz w:val="24"/>
          <w:szCs w:val="24"/>
          <w:lang w:val="en-US"/>
        </w:rPr>
        <w:t>THE TREMOR PARAMETERS OF FEMALE WITH DIFFERENT PHYSICAL TRAINING</w:t>
      </w:r>
      <w:r w:rsidRPr="0037164A">
        <w:rPr>
          <w:rFonts w:ascii="Times New Roman" w:hAnsi="Times New Roman" w:cs="Times New Roman"/>
          <w:sz w:val="24"/>
          <w:szCs w:val="24"/>
          <w:lang w:val="en-US"/>
        </w:rPr>
        <w:br/>
        <w:t>IN THE RUSSIAN NORTH</w:t>
      </w:r>
    </w:p>
    <w:p w:rsidR="00A237B8" w:rsidRPr="0037164A" w:rsidRDefault="00A237B8" w:rsidP="00A237B8">
      <w:pPr>
        <w:pStyle w:val="a6"/>
        <w:rPr>
          <w:rFonts w:ascii="Times New Roman" w:hAnsi="Times New Roman" w:cs="Times New Roman"/>
          <w:lang w:val="en-US"/>
        </w:rPr>
      </w:pPr>
      <w:proofErr w:type="gramStart"/>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V. M. </w:t>
      </w:r>
      <w:proofErr w:type="spellStart"/>
      <w:r w:rsidRPr="0037164A">
        <w:rPr>
          <w:rFonts w:ascii="Times New Roman" w:hAnsi="Times New Roman" w:cs="Times New Roman"/>
          <w:lang w:val="en-US"/>
        </w:rPr>
        <w:t>Eskov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2,3</w:t>
      </w:r>
      <w:r w:rsidRPr="0037164A">
        <w:rPr>
          <w:rFonts w:ascii="Times New Roman" w:hAnsi="Times New Roman" w:cs="Times New Roman"/>
          <w:lang w:val="en-US"/>
        </w:rPr>
        <w:t>A.</w:t>
      </w:r>
      <w:proofErr w:type="gramEnd"/>
      <w:r w:rsidRPr="0037164A">
        <w:rPr>
          <w:rFonts w:ascii="Times New Roman" w:hAnsi="Times New Roman" w:cs="Times New Roman"/>
          <w:lang w:val="en-US"/>
        </w:rPr>
        <w:t xml:space="preserve"> B. </w:t>
      </w:r>
      <w:proofErr w:type="spellStart"/>
      <w:r w:rsidRPr="0037164A">
        <w:rPr>
          <w:rFonts w:ascii="Times New Roman" w:hAnsi="Times New Roman" w:cs="Times New Roman"/>
          <w:lang w:val="en-US"/>
        </w:rPr>
        <w:t>Gudkov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A. E. </w:t>
      </w:r>
      <w:proofErr w:type="spellStart"/>
      <w:r w:rsidRPr="0037164A">
        <w:rPr>
          <w:rFonts w:ascii="Times New Roman" w:hAnsi="Times New Roman" w:cs="Times New Roman"/>
          <w:lang w:val="en-US"/>
        </w:rPr>
        <w:t>Bazhenova</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G. S. </w:t>
      </w:r>
      <w:proofErr w:type="spellStart"/>
      <w:r w:rsidRPr="0037164A">
        <w:rPr>
          <w:rFonts w:ascii="Times New Roman" w:hAnsi="Times New Roman" w:cs="Times New Roman"/>
          <w:lang w:val="en-US"/>
        </w:rPr>
        <w:t>Kozupitsa</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 xml:space="preserve">Surgut State University, Surgut; </w:t>
      </w: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Northern State Medical University, Arkhangelsk, Russia;</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3</w:t>
      </w:r>
      <w:r w:rsidRPr="0037164A">
        <w:rPr>
          <w:rFonts w:ascii="Times New Roman" w:hAnsi="Times New Roman" w:cs="Times New Roman"/>
          <w:sz w:val="24"/>
          <w:szCs w:val="24"/>
          <w:lang w:val="en-US"/>
        </w:rPr>
        <w:t xml:space="preserve">Northern (Arctic) Federal University named after M. V. </w:t>
      </w:r>
      <w:proofErr w:type="spellStart"/>
      <w:r w:rsidRPr="0037164A">
        <w:rPr>
          <w:rFonts w:ascii="Times New Roman" w:hAnsi="Times New Roman" w:cs="Times New Roman"/>
          <w:sz w:val="24"/>
          <w:szCs w:val="24"/>
          <w:lang w:val="en-US"/>
        </w:rPr>
        <w:t>Lomonosov</w:t>
      </w:r>
      <w:proofErr w:type="spellEnd"/>
      <w:r w:rsidRPr="0037164A">
        <w:rPr>
          <w:rFonts w:ascii="Times New Roman" w:hAnsi="Times New Roman" w:cs="Times New Roman"/>
          <w:sz w:val="24"/>
          <w:szCs w:val="24"/>
          <w:lang w:val="en-US"/>
        </w:rPr>
        <w:t>, Arkhangelsk, Russia</w:t>
      </w:r>
    </w:p>
    <w:p w:rsidR="00A237B8" w:rsidRPr="0037164A" w:rsidRDefault="00A237B8" w:rsidP="00A237B8">
      <w:pPr>
        <w:pStyle w:val="ad"/>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The paper presents the results of the tremor analysis carried out in two groups of women living in the North of Russia, aged 30 to 32 years old regularly engaged in physical training and not engaged in physical training. On the basis of methods for calculating the parameters of </w:t>
      </w:r>
      <w:proofErr w:type="spellStart"/>
      <w:r w:rsidRPr="0037164A">
        <w:rPr>
          <w:rFonts w:ascii="Times New Roman" w:hAnsi="Times New Roman" w:cs="Times New Roman"/>
          <w:sz w:val="24"/>
          <w:szCs w:val="24"/>
          <w:lang w:val="en-US"/>
        </w:rPr>
        <w:t>quasi­attractor</w:t>
      </w:r>
      <w:proofErr w:type="spellEnd"/>
      <w:r w:rsidRPr="0037164A">
        <w:rPr>
          <w:rFonts w:ascii="Times New Roman" w:hAnsi="Times New Roman" w:cs="Times New Roman"/>
          <w:sz w:val="24"/>
          <w:szCs w:val="24"/>
          <w:lang w:val="en-US"/>
        </w:rPr>
        <w:t xml:space="preserve"> in </w:t>
      </w:r>
      <w:proofErr w:type="spellStart"/>
      <w:r w:rsidRPr="0037164A">
        <w:rPr>
          <w:rFonts w:ascii="Times New Roman" w:hAnsi="Times New Roman" w:cs="Times New Roman"/>
          <w:sz w:val="24"/>
          <w:szCs w:val="24"/>
          <w:lang w:val="en-US"/>
        </w:rPr>
        <w:t>two­space</w:t>
      </w:r>
      <w:proofErr w:type="spellEnd"/>
      <w:r w:rsidRPr="0037164A">
        <w:rPr>
          <w:rFonts w:ascii="Times New Roman" w:hAnsi="Times New Roman" w:cs="Times New Roman"/>
          <w:sz w:val="24"/>
          <w:szCs w:val="24"/>
          <w:lang w:val="en-US"/>
        </w:rPr>
        <w:t xml:space="preserve"> dimension as a quantitative measure of real changes in neuromuscular system parameters of women with different fitness level, spaces of the </w:t>
      </w:r>
      <w:proofErr w:type="spellStart"/>
      <w:r w:rsidRPr="0037164A">
        <w:rPr>
          <w:rFonts w:ascii="Times New Roman" w:hAnsi="Times New Roman" w:cs="Times New Roman"/>
          <w:sz w:val="24"/>
          <w:szCs w:val="24"/>
          <w:lang w:val="en-US"/>
        </w:rPr>
        <w:t>quasi­attractors</w:t>
      </w:r>
      <w:proofErr w:type="spellEnd"/>
      <w:r w:rsidRPr="0037164A">
        <w:rPr>
          <w:rFonts w:ascii="Times New Roman" w:hAnsi="Times New Roman" w:cs="Times New Roman"/>
          <w:sz w:val="24"/>
          <w:szCs w:val="24"/>
          <w:lang w:val="en-US"/>
        </w:rPr>
        <w:t xml:space="preserve"> were used. In simplistic terms the indicator of </w:t>
      </w:r>
      <w:proofErr w:type="spellStart"/>
      <w:r w:rsidRPr="0037164A">
        <w:rPr>
          <w:rFonts w:ascii="Times New Roman" w:hAnsi="Times New Roman" w:cs="Times New Roman"/>
          <w:sz w:val="24"/>
          <w:szCs w:val="24"/>
          <w:lang w:val="en-US"/>
        </w:rPr>
        <w:t>quasi­attractor</w:t>
      </w:r>
      <w:proofErr w:type="spellEnd"/>
      <w:r w:rsidRPr="0037164A">
        <w:rPr>
          <w:rFonts w:ascii="Times New Roman" w:hAnsi="Times New Roman" w:cs="Times New Roman"/>
          <w:sz w:val="24"/>
          <w:szCs w:val="24"/>
          <w:lang w:val="en-US"/>
        </w:rPr>
        <w:t xml:space="preserve"> areas has already shown differences between trained and untrained individuals. It has been stated that the range of values of </w:t>
      </w:r>
      <w:proofErr w:type="spellStart"/>
      <w:r w:rsidRPr="0037164A">
        <w:rPr>
          <w:rFonts w:ascii="Times New Roman" w:hAnsi="Times New Roman" w:cs="Times New Roman"/>
          <w:sz w:val="24"/>
          <w:szCs w:val="24"/>
          <w:lang w:val="en-US"/>
        </w:rPr>
        <w:t>quasi­attractor’s</w:t>
      </w:r>
      <w:proofErr w:type="spellEnd"/>
      <w:r w:rsidRPr="0037164A">
        <w:rPr>
          <w:rFonts w:ascii="Times New Roman" w:hAnsi="Times New Roman" w:cs="Times New Roman"/>
          <w:sz w:val="24"/>
          <w:szCs w:val="24"/>
          <w:lang w:val="en-US"/>
        </w:rPr>
        <w:t xml:space="preserve"> squares in trained women varies from 0</w:t>
      </w:r>
      <w:proofErr w:type="gramStart"/>
      <w:r w:rsidRPr="0037164A">
        <w:rPr>
          <w:rFonts w:ascii="Times New Roman" w:hAnsi="Times New Roman" w:cs="Times New Roman"/>
          <w:sz w:val="24"/>
          <w:szCs w:val="24"/>
          <w:lang w:val="en-US"/>
        </w:rPr>
        <w:t>,02</w:t>
      </w:r>
      <w:proofErr w:type="gramEnd"/>
      <w:r w:rsidRPr="0037164A">
        <w:rPr>
          <w:rFonts w:ascii="Times New Roman" w:hAnsi="Times New Roman" w:cs="Times New Roman"/>
          <w:sz w:val="24"/>
          <w:szCs w:val="24"/>
          <w:lang w:val="en-US"/>
        </w:rPr>
        <w:t>×10</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 xml:space="preserve"> to 0,96×10</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a.u</w:t>
      </w:r>
      <w:proofErr w:type="spellEnd"/>
      <w:r w:rsidRPr="0037164A">
        <w:rPr>
          <w:rFonts w:ascii="Times New Roman" w:hAnsi="Times New Roman" w:cs="Times New Roman"/>
          <w:sz w:val="24"/>
          <w:szCs w:val="24"/>
          <w:lang w:val="en-US"/>
        </w:rPr>
        <w:t>.) and in women without physical training – 0,14×10</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 xml:space="preserve"> to 5,60×10</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a.u</w:t>
      </w:r>
      <w:proofErr w:type="spellEnd"/>
      <w:r w:rsidRPr="0037164A">
        <w:rPr>
          <w:rFonts w:ascii="Times New Roman" w:hAnsi="Times New Roman" w:cs="Times New Roman"/>
          <w:sz w:val="24"/>
          <w:szCs w:val="24"/>
          <w:lang w:val="en-US"/>
        </w:rPr>
        <w:t xml:space="preserve">.). Statistical data processing has revealed differently directed changes of the studied parameters depending on the degree of women’s physical training. The median values of the </w:t>
      </w:r>
      <w:proofErr w:type="spellStart"/>
      <w:r w:rsidRPr="0037164A">
        <w:rPr>
          <w:rFonts w:ascii="Times New Roman" w:hAnsi="Times New Roman" w:cs="Times New Roman"/>
          <w:sz w:val="24"/>
          <w:szCs w:val="24"/>
          <w:lang w:val="en-US"/>
        </w:rPr>
        <w:lastRenderedPageBreak/>
        <w:t>quasi­attractor</w:t>
      </w:r>
      <w:proofErr w:type="spellEnd"/>
      <w:r w:rsidRPr="0037164A">
        <w:rPr>
          <w:rFonts w:ascii="Times New Roman" w:hAnsi="Times New Roman" w:cs="Times New Roman"/>
          <w:sz w:val="24"/>
          <w:szCs w:val="24"/>
          <w:lang w:val="en-US"/>
        </w:rPr>
        <w:t xml:space="preserve"> squares were 0</w:t>
      </w:r>
      <w:proofErr w:type="gramStart"/>
      <w:r w:rsidRPr="0037164A">
        <w:rPr>
          <w:rFonts w:ascii="Times New Roman" w:hAnsi="Times New Roman" w:cs="Times New Roman"/>
          <w:sz w:val="24"/>
          <w:szCs w:val="24"/>
          <w:lang w:val="en-US"/>
        </w:rPr>
        <w:t>,82</w:t>
      </w:r>
      <w:proofErr w:type="gram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a.u</w:t>
      </w:r>
      <w:proofErr w:type="spellEnd"/>
      <w:r w:rsidRPr="0037164A">
        <w:rPr>
          <w:rFonts w:ascii="Times New Roman" w:hAnsi="Times New Roman" w:cs="Times New Roman"/>
          <w:sz w:val="24"/>
          <w:szCs w:val="24"/>
          <w:lang w:val="en-US"/>
        </w:rPr>
        <w:t>.) in the group of women without physical training and 0,15 (</w:t>
      </w:r>
      <w:proofErr w:type="spellStart"/>
      <w:r w:rsidRPr="0037164A">
        <w:rPr>
          <w:rFonts w:ascii="Times New Roman" w:hAnsi="Times New Roman" w:cs="Times New Roman"/>
          <w:sz w:val="24"/>
          <w:szCs w:val="24"/>
          <w:lang w:val="en-US"/>
        </w:rPr>
        <w:t>a.u</w:t>
      </w:r>
      <w:proofErr w:type="spellEnd"/>
      <w:r w:rsidRPr="0037164A">
        <w:rPr>
          <w:rFonts w:ascii="Times New Roman" w:hAnsi="Times New Roman" w:cs="Times New Roman"/>
          <w:sz w:val="24"/>
          <w:szCs w:val="24"/>
          <w:lang w:val="en-US"/>
        </w:rPr>
        <w:t>.) in trained women.</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 xml:space="preserve">Keywords: </w:t>
      </w:r>
      <w:proofErr w:type="spellStart"/>
      <w:r w:rsidRPr="0037164A">
        <w:rPr>
          <w:rFonts w:ascii="Times New Roman" w:hAnsi="Times New Roman" w:cs="Times New Roman"/>
          <w:sz w:val="24"/>
          <w:szCs w:val="24"/>
          <w:lang w:val="en-US"/>
        </w:rPr>
        <w:t>tremorogram</w:t>
      </w:r>
      <w:proofErr w:type="spellEnd"/>
      <w:r w:rsidRPr="0037164A">
        <w:rPr>
          <w:rFonts w:ascii="Times New Roman" w:hAnsi="Times New Roman" w:cs="Times New Roman"/>
          <w:sz w:val="24"/>
          <w:szCs w:val="24"/>
          <w:lang w:val="en-US"/>
        </w:rPr>
        <w:t xml:space="preserve">, women, physical fitness, </w:t>
      </w:r>
      <w:proofErr w:type="spellStart"/>
      <w:r w:rsidRPr="0037164A">
        <w:rPr>
          <w:rFonts w:ascii="Times New Roman" w:hAnsi="Times New Roman" w:cs="Times New Roman"/>
          <w:sz w:val="24"/>
          <w:szCs w:val="24"/>
          <w:lang w:val="en-US"/>
        </w:rPr>
        <w:t>quasi­attractor</w:t>
      </w:r>
      <w:proofErr w:type="spellEnd"/>
      <w:r w:rsidRPr="0037164A">
        <w:rPr>
          <w:rFonts w:ascii="Times New Roman" w:hAnsi="Times New Roman" w:cs="Times New Roman"/>
          <w:sz w:val="24"/>
          <w:szCs w:val="24"/>
          <w:lang w:val="en-US"/>
        </w:rPr>
        <w:t xml:space="preserve">, chaos, </w:t>
      </w:r>
      <w:proofErr w:type="spellStart"/>
      <w:r w:rsidRPr="0037164A">
        <w:rPr>
          <w:rFonts w:ascii="Times New Roman" w:hAnsi="Times New Roman" w:cs="Times New Roman"/>
          <w:sz w:val="24"/>
          <w:szCs w:val="24"/>
          <w:lang w:val="en-US"/>
        </w:rPr>
        <w:t>self­organization</w:t>
      </w:r>
      <w:proofErr w:type="spellEnd"/>
      <w:r w:rsidRPr="0037164A">
        <w:rPr>
          <w:rFonts w:ascii="Times New Roman" w:hAnsi="Times New Roman" w:cs="Times New Roman"/>
          <w:sz w:val="24"/>
          <w:szCs w:val="24"/>
          <w:lang w:val="en-US"/>
        </w:rPr>
        <w:t>, the North.</w:t>
      </w:r>
    </w:p>
    <w:p w:rsidR="00A237B8" w:rsidRPr="0037164A" w:rsidRDefault="00A237B8" w:rsidP="00A237B8">
      <w:pPr>
        <w:pStyle w:val="ad"/>
      </w:pPr>
    </w:p>
    <w:p w:rsidR="00A237B8" w:rsidRPr="0037164A" w:rsidRDefault="00A237B8" w:rsidP="00F721BA">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t>HEALTH RELATED QUALITY OF LIFE OF ADOLESCENTS LIVING</w:t>
      </w: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t>IN THE YAMAL­NENETS AUTONOMOUS AREA</w:t>
      </w:r>
    </w:p>
    <w:p w:rsidR="00A237B8" w:rsidRPr="0037164A" w:rsidRDefault="00A237B8" w:rsidP="00A237B8">
      <w:pPr>
        <w:pStyle w:val="a6"/>
        <w:rPr>
          <w:rFonts w:ascii="Times New Roman" w:hAnsi="Times New Roman" w:cs="Times New Roman"/>
          <w:lang w:val="en-US"/>
        </w:rPr>
      </w:pPr>
      <w:proofErr w:type="gramStart"/>
      <w:r w:rsidRPr="0037164A">
        <w:rPr>
          <w:rFonts w:ascii="Times New Roman" w:hAnsi="Times New Roman" w:cs="Times New Roman"/>
          <w:vertAlign w:val="superscript"/>
          <w:lang w:val="en-US"/>
        </w:rPr>
        <w:t>1,2</w:t>
      </w:r>
      <w:r w:rsidRPr="0037164A">
        <w:rPr>
          <w:rFonts w:ascii="Times New Roman" w:hAnsi="Times New Roman" w:cs="Times New Roman"/>
          <w:lang w:val="en-US"/>
        </w:rPr>
        <w:t xml:space="preserve">M. P. </w:t>
      </w:r>
      <w:proofErr w:type="spellStart"/>
      <w:r w:rsidRPr="0037164A">
        <w:rPr>
          <w:rFonts w:ascii="Times New Roman" w:hAnsi="Times New Roman" w:cs="Times New Roman"/>
          <w:lang w:val="en-US"/>
        </w:rPr>
        <w:t>Dyakovich</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2</w:t>
      </w:r>
      <w:r w:rsidRPr="0037164A">
        <w:rPr>
          <w:rFonts w:ascii="Times New Roman" w:hAnsi="Times New Roman" w:cs="Times New Roman"/>
          <w:lang w:val="en-US"/>
        </w:rPr>
        <w:t>O.</w:t>
      </w:r>
      <w:proofErr w:type="gramEnd"/>
      <w:r w:rsidRPr="0037164A">
        <w:rPr>
          <w:rFonts w:ascii="Times New Roman" w:hAnsi="Times New Roman" w:cs="Times New Roman"/>
          <w:lang w:val="en-US"/>
        </w:rPr>
        <w:t xml:space="preserve"> A. </w:t>
      </w:r>
      <w:proofErr w:type="spellStart"/>
      <w:r w:rsidRPr="0037164A">
        <w:rPr>
          <w:rFonts w:ascii="Times New Roman" w:hAnsi="Times New Roman" w:cs="Times New Roman"/>
          <w:lang w:val="en-US"/>
        </w:rPr>
        <w:t>Dyakovich</w:t>
      </w:r>
      <w:proofErr w:type="spellEnd"/>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East­Siberian Institute of Medical and Ecological Researches, Angarsk</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Angarsk State Technical University, Angarsk, Russia</w:t>
      </w:r>
    </w:p>
    <w:p w:rsidR="00A237B8" w:rsidRPr="0037164A" w:rsidRDefault="00A237B8" w:rsidP="00A237B8">
      <w:pPr>
        <w:pStyle w:val="ad"/>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Intensification of oil and gas has led to socio­economic development of the </w:t>
      </w:r>
      <w:proofErr w:type="spellStart"/>
      <w:r w:rsidRPr="0037164A">
        <w:rPr>
          <w:rFonts w:ascii="Times New Roman" w:hAnsi="Times New Roman" w:cs="Times New Roman"/>
          <w:sz w:val="24"/>
          <w:szCs w:val="24"/>
          <w:lang w:val="en-US"/>
        </w:rPr>
        <w:t>Yamal­Nenets</w:t>
      </w:r>
      <w:proofErr w:type="spellEnd"/>
      <w:r w:rsidRPr="0037164A">
        <w:rPr>
          <w:rFonts w:ascii="Times New Roman" w:hAnsi="Times New Roman" w:cs="Times New Roman"/>
          <w:sz w:val="24"/>
          <w:szCs w:val="24"/>
          <w:lang w:val="en-US"/>
        </w:rPr>
        <w:t xml:space="preserve"> Autonomous Area (</w:t>
      </w:r>
      <w:proofErr w:type="spellStart"/>
      <w:r w:rsidRPr="0037164A">
        <w:rPr>
          <w:rFonts w:ascii="Times New Roman" w:hAnsi="Times New Roman" w:cs="Times New Roman"/>
          <w:sz w:val="24"/>
          <w:szCs w:val="24"/>
          <w:lang w:val="en-US"/>
        </w:rPr>
        <w:t>YaNAO</w:t>
      </w:r>
      <w:proofErr w:type="spellEnd"/>
      <w:r w:rsidRPr="0037164A">
        <w:rPr>
          <w:rFonts w:ascii="Times New Roman" w:hAnsi="Times New Roman" w:cs="Times New Roman"/>
          <w:sz w:val="24"/>
          <w:szCs w:val="24"/>
          <w:lang w:val="en-US"/>
        </w:rPr>
        <w:t xml:space="preserve">) ­ one of the most northern regions of Russian raw materials, which contributed to improving life standard of living here people, and the reduction of social well­being and quality of life (QOL) of indigenous people. Development of the </w:t>
      </w:r>
      <w:proofErr w:type="spellStart"/>
      <w:r w:rsidRPr="0037164A">
        <w:rPr>
          <w:rFonts w:ascii="Times New Roman" w:hAnsi="Times New Roman" w:cs="Times New Roman"/>
          <w:sz w:val="24"/>
          <w:szCs w:val="24"/>
          <w:lang w:val="en-US"/>
        </w:rPr>
        <w:t>YaNAO</w:t>
      </w:r>
      <w:proofErr w:type="spellEnd"/>
      <w:r w:rsidRPr="0037164A">
        <w:rPr>
          <w:rFonts w:ascii="Times New Roman" w:hAnsi="Times New Roman" w:cs="Times New Roman"/>
          <w:sz w:val="24"/>
          <w:szCs w:val="24"/>
          <w:lang w:val="en-US"/>
        </w:rPr>
        <w:t xml:space="preserve"> was followed by mass inflow of human resources of mainly fertile age that led to rapid growth of the children's and adolescent’s population – labor potential of the region’s strategic development. Purpose: to give an assessment of risks of health problems and </w:t>
      </w:r>
      <w:proofErr w:type="spellStart"/>
      <w:r w:rsidRPr="0037164A">
        <w:rPr>
          <w:rFonts w:ascii="Times New Roman" w:hAnsi="Times New Roman" w:cs="Times New Roman"/>
          <w:sz w:val="24"/>
          <w:szCs w:val="24"/>
          <w:lang w:val="en-US"/>
        </w:rPr>
        <w:t>health­related</w:t>
      </w:r>
      <w:proofErr w:type="spellEnd"/>
      <w:r w:rsidRPr="0037164A">
        <w:rPr>
          <w:rFonts w:ascii="Times New Roman" w:hAnsi="Times New Roman" w:cs="Times New Roman"/>
          <w:sz w:val="24"/>
          <w:szCs w:val="24"/>
          <w:lang w:val="en-US"/>
        </w:rPr>
        <w:t xml:space="preserve"> QOL of the adolescents living in the </w:t>
      </w:r>
      <w:proofErr w:type="spellStart"/>
      <w:r w:rsidRPr="0037164A">
        <w:rPr>
          <w:rFonts w:ascii="Times New Roman" w:hAnsi="Times New Roman" w:cs="Times New Roman"/>
          <w:sz w:val="24"/>
          <w:szCs w:val="24"/>
          <w:lang w:val="en-US"/>
        </w:rPr>
        <w:t>Yamal’s</w:t>
      </w:r>
      <w:proofErr w:type="spellEnd"/>
      <w:r w:rsidRPr="0037164A">
        <w:rPr>
          <w:rFonts w:ascii="Times New Roman" w:hAnsi="Times New Roman" w:cs="Times New Roman"/>
          <w:sz w:val="24"/>
          <w:szCs w:val="24"/>
          <w:lang w:val="en-US"/>
        </w:rPr>
        <w:t xml:space="preserve"> territory. Objects: 58 adolescents ­ the indigenous </w:t>
      </w:r>
      <w:proofErr w:type="spellStart"/>
      <w:r w:rsidRPr="0037164A">
        <w:rPr>
          <w:rFonts w:ascii="Times New Roman" w:hAnsi="Times New Roman" w:cs="Times New Roman"/>
          <w:sz w:val="24"/>
          <w:szCs w:val="24"/>
          <w:lang w:val="en-US"/>
        </w:rPr>
        <w:t>Nenets</w:t>
      </w:r>
      <w:proofErr w:type="spellEnd"/>
      <w:r w:rsidRPr="0037164A">
        <w:rPr>
          <w:rFonts w:ascii="Times New Roman" w:hAnsi="Times New Roman" w:cs="Times New Roman"/>
          <w:sz w:val="24"/>
          <w:szCs w:val="24"/>
          <w:lang w:val="en-US"/>
        </w:rPr>
        <w:t xml:space="preserve"> and the 26 – rooted inhabitants. The assessment of risks of health problems was carried out by means of the automated system of a quantitative assessment of risks of the major pathology syndromes (MPS). The </w:t>
      </w:r>
      <w:proofErr w:type="spellStart"/>
      <w:r w:rsidRPr="0037164A">
        <w:rPr>
          <w:rFonts w:ascii="Times New Roman" w:hAnsi="Times New Roman" w:cs="Times New Roman"/>
          <w:sz w:val="24"/>
          <w:szCs w:val="24"/>
          <w:lang w:val="en-US"/>
        </w:rPr>
        <w:t>PedsQL</w:t>
      </w:r>
      <w:proofErr w:type="spellEnd"/>
      <w:r w:rsidRPr="0037164A">
        <w:rPr>
          <w:rFonts w:ascii="Times New Roman" w:hAnsi="Times New Roman" w:cs="Times New Roman"/>
          <w:sz w:val="24"/>
          <w:szCs w:val="24"/>
          <w:lang w:val="en-US"/>
        </w:rPr>
        <w:t xml:space="preserve"> 4.0 Generic Core tool was used for the </w:t>
      </w:r>
      <w:proofErr w:type="spellStart"/>
      <w:r w:rsidRPr="0037164A">
        <w:rPr>
          <w:rFonts w:ascii="Times New Roman" w:hAnsi="Times New Roman" w:cs="Times New Roman"/>
          <w:sz w:val="24"/>
          <w:szCs w:val="24"/>
          <w:lang w:val="en-US"/>
        </w:rPr>
        <w:t>health­related</w:t>
      </w:r>
      <w:proofErr w:type="spellEnd"/>
      <w:r w:rsidRPr="0037164A">
        <w:rPr>
          <w:rFonts w:ascii="Times New Roman" w:hAnsi="Times New Roman" w:cs="Times New Roman"/>
          <w:sz w:val="24"/>
          <w:szCs w:val="24"/>
          <w:lang w:val="en-US"/>
        </w:rPr>
        <w:t xml:space="preserve"> QOL assessment. </w:t>
      </w:r>
      <w:proofErr w:type="spellStart"/>
      <w:r w:rsidRPr="0037164A">
        <w:rPr>
          <w:rFonts w:ascii="Times New Roman" w:hAnsi="Times New Roman" w:cs="Times New Roman"/>
          <w:sz w:val="24"/>
          <w:szCs w:val="24"/>
          <w:lang w:val="en-US"/>
        </w:rPr>
        <w:t>Mathematical­statistical</w:t>
      </w:r>
      <w:proofErr w:type="spellEnd"/>
      <w:r w:rsidRPr="0037164A">
        <w:rPr>
          <w:rFonts w:ascii="Times New Roman" w:hAnsi="Times New Roman" w:cs="Times New Roman"/>
          <w:sz w:val="24"/>
          <w:szCs w:val="24"/>
          <w:lang w:val="en-US"/>
        </w:rPr>
        <w:t xml:space="preserve"> data processing was carried out by means of </w:t>
      </w:r>
      <w:proofErr w:type="spellStart"/>
      <w:r w:rsidRPr="0037164A">
        <w:rPr>
          <w:rFonts w:ascii="Times New Roman" w:hAnsi="Times New Roman" w:cs="Times New Roman"/>
          <w:sz w:val="24"/>
          <w:szCs w:val="24"/>
          <w:lang w:val="en-US"/>
        </w:rPr>
        <w:t>Statistica</w:t>
      </w:r>
      <w:proofErr w:type="spellEnd"/>
      <w:r w:rsidRPr="0037164A">
        <w:rPr>
          <w:rFonts w:ascii="Times New Roman" w:hAnsi="Times New Roman" w:cs="Times New Roman"/>
          <w:sz w:val="24"/>
          <w:szCs w:val="24"/>
          <w:lang w:val="en-US"/>
        </w:rPr>
        <w:t xml:space="preserve"> 8. In the group of </w:t>
      </w:r>
      <w:proofErr w:type="spellStart"/>
      <w:r w:rsidRPr="0037164A">
        <w:rPr>
          <w:rFonts w:ascii="Times New Roman" w:hAnsi="Times New Roman" w:cs="Times New Roman"/>
          <w:sz w:val="24"/>
          <w:szCs w:val="24"/>
          <w:lang w:val="en-US"/>
        </w:rPr>
        <w:t>Nenets</w:t>
      </w:r>
      <w:proofErr w:type="spellEnd"/>
      <w:r w:rsidRPr="0037164A">
        <w:rPr>
          <w:rFonts w:ascii="Times New Roman" w:hAnsi="Times New Roman" w:cs="Times New Roman"/>
          <w:sz w:val="24"/>
          <w:szCs w:val="24"/>
          <w:lang w:val="en-US"/>
        </w:rPr>
        <w:t>, proportion of individuals with low MPS exceeded the proportion of individuals with high and extremely high (53</w:t>
      </w:r>
      <w:proofErr w:type="gramStart"/>
      <w:r w:rsidRPr="0037164A">
        <w:rPr>
          <w:rFonts w:ascii="Times New Roman" w:hAnsi="Times New Roman" w:cs="Times New Roman"/>
          <w:sz w:val="24"/>
          <w:szCs w:val="24"/>
          <w:lang w:val="en-US"/>
        </w:rPr>
        <w:t>,5</w:t>
      </w:r>
      <w:proofErr w:type="gramEnd"/>
      <w:r w:rsidRPr="0037164A">
        <w:rPr>
          <w:rFonts w:ascii="Times New Roman" w:hAnsi="Times New Roman" w:cs="Times New Roman"/>
          <w:sz w:val="24"/>
          <w:szCs w:val="24"/>
          <w:lang w:val="en-US"/>
        </w:rPr>
        <w:t xml:space="preserve">% against 31,0 and 15,5p = 0.014 and p=0,000 correspondingly). </w:t>
      </w:r>
      <w:proofErr w:type="spellStart"/>
      <w:r w:rsidRPr="0037164A">
        <w:rPr>
          <w:rFonts w:ascii="Times New Roman" w:hAnsi="Times New Roman" w:cs="Times New Roman"/>
          <w:sz w:val="24"/>
          <w:szCs w:val="24"/>
          <w:lang w:val="en-US"/>
        </w:rPr>
        <w:t>Nenets</w:t>
      </w:r>
      <w:proofErr w:type="spellEnd"/>
      <w:r w:rsidRPr="0037164A">
        <w:rPr>
          <w:rFonts w:ascii="Times New Roman" w:hAnsi="Times New Roman" w:cs="Times New Roman"/>
          <w:sz w:val="24"/>
          <w:szCs w:val="24"/>
          <w:lang w:val="en-US"/>
        </w:rPr>
        <w:t xml:space="preserve"> differed in lower levels of risks of arterial hypertension (0</w:t>
      </w:r>
      <w:proofErr w:type="gramStart"/>
      <w:r w:rsidRPr="0037164A">
        <w:rPr>
          <w:rFonts w:ascii="Times New Roman" w:hAnsi="Times New Roman" w:cs="Times New Roman"/>
          <w:sz w:val="24"/>
          <w:szCs w:val="24"/>
          <w:lang w:val="en-US"/>
        </w:rPr>
        <w:t>,12</w:t>
      </w:r>
      <w:proofErr w:type="gramEnd"/>
      <w:r w:rsidRPr="0037164A">
        <w:rPr>
          <w:rFonts w:ascii="Times New Roman" w:hAnsi="Times New Roman" w:cs="Times New Roman"/>
          <w:sz w:val="24"/>
          <w:szCs w:val="24"/>
          <w:lang w:val="en-US"/>
        </w:rPr>
        <w:t xml:space="preserve"> and 0,34 in young men, p=0,004); coronary heart disease, functional violations of respiratory organs, neurologic violations, and boundary mental disorders (0,22 and 0,53 in young men, p=0,012; 0,48 and 0,79 in girls, p=0,027; 0,36 and 0,66 on the whole, p=0,002). The MPS levels at young men were lower, than at girls regardless of an ethnic origin: among </w:t>
      </w:r>
      <w:proofErr w:type="spellStart"/>
      <w:r w:rsidRPr="0037164A">
        <w:rPr>
          <w:rFonts w:ascii="Times New Roman" w:hAnsi="Times New Roman" w:cs="Times New Roman"/>
          <w:sz w:val="24"/>
          <w:szCs w:val="24"/>
          <w:lang w:val="en-US"/>
        </w:rPr>
        <w:t>Nenets</w:t>
      </w:r>
      <w:proofErr w:type="spellEnd"/>
      <w:r w:rsidRPr="0037164A">
        <w:rPr>
          <w:rFonts w:ascii="Times New Roman" w:hAnsi="Times New Roman" w:cs="Times New Roman"/>
          <w:sz w:val="24"/>
          <w:szCs w:val="24"/>
          <w:lang w:val="en-US"/>
        </w:rPr>
        <w:t xml:space="preserve">­ arterial hypertension (0,12 and 0,36, p=0,001), liver functional disease (0,14 and 0,37, p=0,021),  boundary mental disorders (0,22 and 0,48, p=0,013), among rooted inhabitants­ functional gastrointestinal disorders (0,19 and 0,49, p=0,021). The QOL of all examined adolescents was characterized by high indicators of physical and social functioning. In general indices of the </w:t>
      </w:r>
      <w:proofErr w:type="spellStart"/>
      <w:r w:rsidRPr="0037164A">
        <w:rPr>
          <w:rFonts w:ascii="Times New Roman" w:hAnsi="Times New Roman" w:cs="Times New Roman"/>
          <w:sz w:val="24"/>
          <w:szCs w:val="24"/>
          <w:lang w:val="en-US"/>
        </w:rPr>
        <w:t>health­related</w:t>
      </w:r>
      <w:proofErr w:type="spellEnd"/>
      <w:r w:rsidRPr="0037164A">
        <w:rPr>
          <w:rFonts w:ascii="Times New Roman" w:hAnsi="Times New Roman" w:cs="Times New Roman"/>
          <w:sz w:val="24"/>
          <w:szCs w:val="24"/>
          <w:lang w:val="en-US"/>
        </w:rPr>
        <w:t xml:space="preserve"> QOL were higher in </w:t>
      </w:r>
      <w:proofErr w:type="spellStart"/>
      <w:r w:rsidRPr="0037164A">
        <w:rPr>
          <w:rFonts w:ascii="Times New Roman" w:hAnsi="Times New Roman" w:cs="Times New Roman"/>
          <w:sz w:val="24"/>
          <w:szCs w:val="24"/>
          <w:lang w:val="en-US"/>
        </w:rPr>
        <w:t>Nenets</w:t>
      </w:r>
      <w:proofErr w:type="spellEnd"/>
      <w:r w:rsidRPr="0037164A">
        <w:rPr>
          <w:rFonts w:ascii="Times New Roman" w:hAnsi="Times New Roman" w:cs="Times New Roman"/>
          <w:sz w:val="24"/>
          <w:szCs w:val="24"/>
          <w:lang w:val="en-US"/>
        </w:rPr>
        <w:t xml:space="preserve"> adolescents, than in rooted inhabitants. Further research is necessary and the attention should be paid not only on subjective but also an objective assessment of health status to analyze their interactions.</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Keywords:</w:t>
      </w:r>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Yamal</w:t>
      </w:r>
      <w:proofErr w:type="spellEnd"/>
      <w:r w:rsidRPr="0037164A">
        <w:rPr>
          <w:rFonts w:ascii="Times New Roman" w:hAnsi="Times New Roman" w:cs="Times New Roman"/>
          <w:sz w:val="24"/>
          <w:szCs w:val="24"/>
          <w:lang w:val="en-US"/>
        </w:rPr>
        <w:t xml:space="preserve">, adolescents, </w:t>
      </w:r>
      <w:proofErr w:type="spellStart"/>
      <w:r w:rsidRPr="0037164A">
        <w:rPr>
          <w:rFonts w:ascii="Times New Roman" w:hAnsi="Times New Roman" w:cs="Times New Roman"/>
          <w:sz w:val="24"/>
          <w:szCs w:val="24"/>
          <w:lang w:val="en-US"/>
        </w:rPr>
        <w:t>health­related</w:t>
      </w:r>
      <w:proofErr w:type="spellEnd"/>
      <w:r w:rsidRPr="0037164A">
        <w:rPr>
          <w:rFonts w:ascii="Times New Roman" w:hAnsi="Times New Roman" w:cs="Times New Roman"/>
          <w:sz w:val="24"/>
          <w:szCs w:val="24"/>
          <w:lang w:val="en-US"/>
        </w:rPr>
        <w:t xml:space="preserve"> quality of life, the risks of the major pathology syndromes</w:t>
      </w:r>
    </w:p>
    <w:p w:rsidR="00A237B8" w:rsidRPr="0037164A" w:rsidRDefault="00A237B8" w:rsidP="00A237B8">
      <w:pPr>
        <w:pStyle w:val="ad"/>
      </w:pPr>
    </w:p>
    <w:p w:rsidR="00A237B8" w:rsidRDefault="00A237B8" w:rsidP="00A237B8">
      <w:pPr>
        <w:pStyle w:val="ad"/>
        <w:rPr>
          <w:lang w:val="ru-RU"/>
        </w:rPr>
      </w:pPr>
    </w:p>
    <w:p w:rsidR="00F721BA" w:rsidRDefault="00F721BA" w:rsidP="00A237B8">
      <w:pPr>
        <w:pStyle w:val="ad"/>
        <w:rPr>
          <w:lang w:val="ru-RU"/>
        </w:rPr>
      </w:pPr>
    </w:p>
    <w:p w:rsidR="00F721BA" w:rsidRPr="0037164A" w:rsidRDefault="00F721BA" w:rsidP="00A237B8">
      <w:pPr>
        <w:pStyle w:val="ad"/>
        <w:rPr>
          <w:lang w:val="ru-RU"/>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lastRenderedPageBreak/>
        <w:t>QUALITY OF OUTPATIENT MEDICAL SERVICES IN OUTPATIENT FACILITIES RECEIVED BY ONCOLOGICAL PATIENTS IN SOUTHERN KAZAKHSTAN</w:t>
      </w:r>
    </w:p>
    <w:p w:rsidR="00A237B8" w:rsidRPr="0037164A" w:rsidRDefault="00A237B8" w:rsidP="00A237B8">
      <w:pPr>
        <w:pStyle w:val="a9"/>
        <w:rPr>
          <w:rFonts w:ascii="Times New Roman" w:hAnsi="Times New Roman" w:cs="Times New Roman"/>
          <w:lang w:val="en-US"/>
        </w:rPr>
      </w:pPr>
      <w:proofErr w:type="gramStart"/>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K. N. </w:t>
      </w:r>
      <w:proofErr w:type="spellStart"/>
      <w:r w:rsidRPr="0037164A">
        <w:rPr>
          <w:rFonts w:ascii="Times New Roman" w:hAnsi="Times New Roman" w:cs="Times New Roman"/>
          <w:lang w:val="en-US"/>
        </w:rPr>
        <w:t>Tazhibayeva</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1­2</w:t>
      </w:r>
      <w:r w:rsidRPr="0037164A">
        <w:rPr>
          <w:rFonts w:ascii="Times New Roman" w:hAnsi="Times New Roman" w:cs="Times New Roman"/>
          <w:lang w:val="en-US"/>
        </w:rPr>
        <w:t>M.</w:t>
      </w:r>
      <w:proofErr w:type="gramEnd"/>
      <w:r w:rsidRPr="0037164A">
        <w:rPr>
          <w:rFonts w:ascii="Times New Roman" w:hAnsi="Times New Roman" w:cs="Times New Roman"/>
          <w:lang w:val="en-US"/>
        </w:rPr>
        <w:t xml:space="preserve"> A. </w:t>
      </w:r>
      <w:proofErr w:type="spellStart"/>
      <w:r w:rsidRPr="0037164A">
        <w:rPr>
          <w:rFonts w:ascii="Times New Roman" w:hAnsi="Times New Roman" w:cs="Times New Roman"/>
          <w:lang w:val="en-US"/>
        </w:rPr>
        <w:t>Buleshov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2</w:t>
      </w:r>
      <w:r w:rsidRPr="0037164A">
        <w:rPr>
          <w:rFonts w:ascii="Times New Roman" w:hAnsi="Times New Roman" w:cs="Times New Roman"/>
          <w:lang w:val="en-US"/>
        </w:rPr>
        <w:t xml:space="preserve">A. M. </w:t>
      </w:r>
      <w:proofErr w:type="spellStart"/>
      <w:r w:rsidRPr="0037164A">
        <w:rPr>
          <w:rFonts w:ascii="Times New Roman" w:hAnsi="Times New Roman" w:cs="Times New Roman"/>
          <w:lang w:val="en-US"/>
        </w:rPr>
        <w:t>Buleshova</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N. S. </w:t>
      </w:r>
      <w:proofErr w:type="spellStart"/>
      <w:r w:rsidRPr="0037164A">
        <w:rPr>
          <w:rFonts w:ascii="Times New Roman" w:hAnsi="Times New Roman" w:cs="Times New Roman"/>
          <w:lang w:val="en-US"/>
        </w:rPr>
        <w:t>Zhanabayev</w:t>
      </w:r>
      <w:proofErr w:type="spellEnd"/>
      <w:r w:rsidRPr="0037164A">
        <w:rPr>
          <w:rFonts w:ascii="Times New Roman" w:hAnsi="Times New Roman" w:cs="Times New Roman"/>
          <w:lang w:val="en-US"/>
        </w:rPr>
        <w:t>,</w:t>
      </w:r>
    </w:p>
    <w:p w:rsidR="00A237B8" w:rsidRPr="0037164A" w:rsidRDefault="00A237B8" w:rsidP="00A237B8">
      <w:pPr>
        <w:pStyle w:val="a9"/>
        <w:rPr>
          <w:rFonts w:ascii="Times New Roman" w:hAnsi="Times New Roman" w:cs="Times New Roman"/>
          <w:lang w:val="en-US"/>
        </w:rPr>
      </w:pPr>
      <w:proofErr w:type="gramStart"/>
      <w:r w:rsidRPr="0037164A">
        <w:rPr>
          <w:rFonts w:ascii="Times New Roman" w:hAnsi="Times New Roman" w:cs="Times New Roman"/>
          <w:vertAlign w:val="superscript"/>
          <w:lang w:val="en-US"/>
        </w:rPr>
        <w:t>2</w:t>
      </w:r>
      <w:r w:rsidRPr="0037164A">
        <w:rPr>
          <w:rFonts w:ascii="Times New Roman" w:hAnsi="Times New Roman" w:cs="Times New Roman"/>
          <w:lang w:val="en-US"/>
        </w:rPr>
        <w:t xml:space="preserve">D. M. </w:t>
      </w:r>
      <w:proofErr w:type="spellStart"/>
      <w:r w:rsidRPr="0037164A">
        <w:rPr>
          <w:rFonts w:ascii="Times New Roman" w:hAnsi="Times New Roman" w:cs="Times New Roman"/>
          <w:lang w:val="en-US"/>
        </w:rPr>
        <w:t>Buleshov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3</w:t>
      </w:r>
      <w:r w:rsidRPr="0037164A">
        <w:rPr>
          <w:rFonts w:ascii="Times New Roman" w:hAnsi="Times New Roman" w:cs="Times New Roman"/>
          <w:lang w:val="en-US"/>
        </w:rPr>
        <w:t>S.</w:t>
      </w:r>
      <w:proofErr w:type="gramEnd"/>
      <w:r w:rsidRPr="0037164A">
        <w:rPr>
          <w:rFonts w:ascii="Times New Roman" w:hAnsi="Times New Roman" w:cs="Times New Roman"/>
          <w:lang w:val="en-US"/>
        </w:rPr>
        <w:t xml:space="preserve"> V. </w:t>
      </w:r>
      <w:proofErr w:type="spellStart"/>
      <w:r w:rsidRPr="0037164A">
        <w:rPr>
          <w:rFonts w:ascii="Times New Roman" w:hAnsi="Times New Roman" w:cs="Times New Roman"/>
          <w:lang w:val="en-US"/>
        </w:rPr>
        <w:t>Ivanov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1, 4­6</w:t>
      </w:r>
      <w:r w:rsidRPr="0037164A">
        <w:rPr>
          <w:rFonts w:ascii="Times New Roman" w:hAnsi="Times New Roman" w:cs="Times New Roman"/>
          <w:lang w:val="en-US"/>
        </w:rPr>
        <w:t>A. M. Grjibovski</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 xml:space="preserve">International </w:t>
      </w:r>
      <w:proofErr w:type="spellStart"/>
      <w:r w:rsidRPr="0037164A">
        <w:rPr>
          <w:rFonts w:ascii="Times New Roman" w:hAnsi="Times New Roman" w:cs="Times New Roman"/>
          <w:sz w:val="24"/>
          <w:szCs w:val="24"/>
          <w:lang w:val="en-US"/>
        </w:rPr>
        <w:t>Kazakh­Turkish</w:t>
      </w:r>
      <w:proofErr w:type="spellEnd"/>
      <w:r w:rsidRPr="0037164A">
        <w:rPr>
          <w:rFonts w:ascii="Times New Roman" w:hAnsi="Times New Roman" w:cs="Times New Roman"/>
          <w:sz w:val="24"/>
          <w:szCs w:val="24"/>
          <w:lang w:val="en-US"/>
        </w:rPr>
        <w:t xml:space="preserve"> University, Turkestan, Kazakhstan; </w:t>
      </w: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 xml:space="preserve">South Kazakhstan State Pharmaceutical Academy, </w:t>
      </w:r>
      <w:proofErr w:type="spellStart"/>
      <w:r w:rsidRPr="0037164A">
        <w:rPr>
          <w:rFonts w:ascii="Times New Roman" w:hAnsi="Times New Roman" w:cs="Times New Roman"/>
          <w:sz w:val="24"/>
          <w:szCs w:val="24"/>
          <w:lang w:val="en-US"/>
        </w:rPr>
        <w:t>Shymkent</w:t>
      </w:r>
      <w:proofErr w:type="spellEnd"/>
      <w:r w:rsidRPr="0037164A">
        <w:rPr>
          <w:rFonts w:ascii="Times New Roman" w:hAnsi="Times New Roman" w:cs="Times New Roman"/>
          <w:sz w:val="24"/>
          <w:szCs w:val="24"/>
          <w:lang w:val="en-US"/>
        </w:rPr>
        <w:t xml:space="preserve">, Kazakhstan; </w:t>
      </w:r>
      <w:r w:rsidRPr="0037164A">
        <w:rPr>
          <w:rFonts w:ascii="Times New Roman" w:hAnsi="Times New Roman" w:cs="Times New Roman"/>
          <w:sz w:val="24"/>
          <w:szCs w:val="24"/>
          <w:vertAlign w:val="superscript"/>
          <w:lang w:val="en-US"/>
        </w:rPr>
        <w:t>3</w:t>
      </w:r>
      <w:r w:rsidRPr="0037164A">
        <w:rPr>
          <w:rFonts w:ascii="Times New Roman" w:hAnsi="Times New Roman" w:cs="Times New Roman"/>
          <w:sz w:val="24"/>
          <w:szCs w:val="24"/>
          <w:lang w:val="en-US"/>
        </w:rPr>
        <w:t xml:space="preserve">First State Medical University n. a. I. P. Pavlov, St. Petersburg, Russia; </w:t>
      </w:r>
      <w:r w:rsidRPr="0037164A">
        <w:rPr>
          <w:rFonts w:ascii="Times New Roman" w:hAnsi="Times New Roman" w:cs="Times New Roman"/>
          <w:sz w:val="24"/>
          <w:szCs w:val="24"/>
          <w:vertAlign w:val="superscript"/>
          <w:lang w:val="en-US"/>
        </w:rPr>
        <w:t>4</w:t>
      </w:r>
      <w:r w:rsidRPr="0037164A">
        <w:rPr>
          <w:rFonts w:ascii="Times New Roman" w:hAnsi="Times New Roman" w:cs="Times New Roman"/>
          <w:sz w:val="24"/>
          <w:szCs w:val="24"/>
          <w:lang w:val="en-US"/>
        </w:rPr>
        <w:t xml:space="preserve">Northern State Medical University, Arkhangelsk, Russia; </w:t>
      </w:r>
      <w:r w:rsidRPr="0037164A">
        <w:rPr>
          <w:rFonts w:ascii="Times New Roman" w:hAnsi="Times New Roman" w:cs="Times New Roman"/>
          <w:sz w:val="24"/>
          <w:szCs w:val="24"/>
          <w:vertAlign w:val="superscript"/>
          <w:lang w:val="en-US"/>
        </w:rPr>
        <w:t>5</w:t>
      </w:r>
      <w:r w:rsidRPr="0037164A">
        <w:rPr>
          <w:rFonts w:ascii="Times New Roman" w:hAnsi="Times New Roman" w:cs="Times New Roman"/>
          <w:sz w:val="24"/>
          <w:szCs w:val="24"/>
          <w:lang w:val="en-US"/>
        </w:rPr>
        <w:t xml:space="preserve">North­Eastern Federal University, Yakutsk, Russia; </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Norwegian Institute of Public Health, Oslo, Norway</w:t>
      </w:r>
    </w:p>
    <w:p w:rsidR="00A237B8" w:rsidRPr="0037164A" w:rsidRDefault="00A237B8" w:rsidP="00A237B8">
      <w:pPr>
        <w:pStyle w:val="ad"/>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This article presents the results of a survey of 1734 outpatient patients with </w:t>
      </w:r>
      <w:proofErr w:type="spellStart"/>
      <w:r w:rsidRPr="0037164A">
        <w:rPr>
          <w:rFonts w:ascii="Times New Roman" w:hAnsi="Times New Roman" w:cs="Times New Roman"/>
          <w:sz w:val="24"/>
          <w:szCs w:val="24"/>
          <w:lang w:val="en-US"/>
        </w:rPr>
        <w:t>oncological</w:t>
      </w:r>
      <w:proofErr w:type="spellEnd"/>
      <w:r w:rsidRPr="0037164A">
        <w:rPr>
          <w:rFonts w:ascii="Times New Roman" w:hAnsi="Times New Roman" w:cs="Times New Roman"/>
          <w:sz w:val="24"/>
          <w:szCs w:val="24"/>
          <w:lang w:val="en-US"/>
        </w:rPr>
        <w:t xml:space="preserve"> diseases from South Kazakhstan region. Altogether, 34 multidisciplinary outpatient medical institutions were included into the survey. 72.1 (95 % CI: 70</w:t>
      </w:r>
      <w:proofErr w:type="gramStart"/>
      <w:r w:rsidRPr="0037164A">
        <w:rPr>
          <w:rFonts w:ascii="Times New Roman" w:hAnsi="Times New Roman" w:cs="Times New Roman"/>
          <w:sz w:val="24"/>
          <w:szCs w:val="24"/>
          <w:lang w:val="en-US"/>
        </w:rPr>
        <w:t>,0­74,2</w:t>
      </w:r>
      <w:proofErr w:type="gramEnd"/>
      <w:r w:rsidRPr="0037164A">
        <w:rPr>
          <w:rFonts w:ascii="Times New Roman" w:hAnsi="Times New Roman" w:cs="Times New Roman"/>
          <w:sz w:val="24"/>
          <w:szCs w:val="24"/>
          <w:lang w:val="en-US"/>
        </w:rPr>
        <w:t>) % of the patients were satisfied with outpatient medical care. 15.7 % of the patients (95 % CI 14</w:t>
      </w:r>
      <w:proofErr w:type="gramStart"/>
      <w:r w:rsidRPr="0037164A">
        <w:rPr>
          <w:rFonts w:ascii="Times New Roman" w:hAnsi="Times New Roman" w:cs="Times New Roman"/>
          <w:sz w:val="24"/>
          <w:szCs w:val="24"/>
          <w:lang w:val="en-US"/>
        </w:rPr>
        <w:t>,1­17,5</w:t>
      </w:r>
      <w:proofErr w:type="gramEnd"/>
      <w:r w:rsidRPr="0037164A">
        <w:rPr>
          <w:rFonts w:ascii="Times New Roman" w:hAnsi="Times New Roman" w:cs="Times New Roman"/>
          <w:sz w:val="24"/>
          <w:szCs w:val="24"/>
          <w:lang w:val="en-US"/>
        </w:rPr>
        <w:t>) were unsatisfied. Binary logistic regression revealed the factors which influenced dissatisfaction with outpatient medical care. These were problems with making an appointment with a physician (OR 24.5 (95 % CI: 16.4; 36.7)), waiting time for more than 30 min (OR 1.6 (95 % CI: 1.0; 2.4)), male gender (OR 1.4 (95 % CI: 1.0; 2.0)) and rural residence (OR 2.7 (95 % CI: 2.0; 3.8)). According to results of the survey we highlighted the importance of the outpatient medical care optimization in Kazakhstan.</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Keywords:</w:t>
      </w:r>
      <w:r w:rsidRPr="0037164A">
        <w:rPr>
          <w:rFonts w:ascii="Times New Roman" w:hAnsi="Times New Roman" w:cs="Times New Roman"/>
          <w:sz w:val="24"/>
          <w:szCs w:val="24"/>
          <w:lang w:val="en-US"/>
        </w:rPr>
        <w:t xml:space="preserve"> quality of medical care, primary health care, outpatient clinics, oncology, Kazakhstan</w:t>
      </w:r>
    </w:p>
    <w:p w:rsidR="00A237B8" w:rsidRPr="0037164A" w:rsidRDefault="00A237B8" w:rsidP="00A237B8">
      <w:pPr>
        <w:pStyle w:val="ad"/>
      </w:pPr>
    </w:p>
    <w:p w:rsidR="00A237B8" w:rsidRPr="0037164A" w:rsidRDefault="00A237B8" w:rsidP="00A237B8">
      <w:pPr>
        <w:pStyle w:val="a8"/>
        <w:rPr>
          <w:rFonts w:ascii="Times New Roman" w:hAnsi="Times New Roman" w:cs="Times New Roman"/>
          <w:sz w:val="24"/>
          <w:szCs w:val="24"/>
        </w:rPr>
      </w:pPr>
    </w:p>
    <w:p w:rsidR="00A237B8" w:rsidRPr="0037164A" w:rsidRDefault="00A237B8" w:rsidP="00A237B8">
      <w:pPr>
        <w:pStyle w:val="a5"/>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THE FIRST POPULATION­BASED INJURY REGISTER IN RUSSIA: ESTABLISHMENT, LOGISTICS AND ROLE IN THE MUNICIPAL INJURY PREVENTION PROGRAMME </w:t>
      </w:r>
    </w:p>
    <w:p w:rsidR="00A237B8" w:rsidRPr="0037164A" w:rsidRDefault="00A237B8" w:rsidP="00A237B8">
      <w:pPr>
        <w:pStyle w:val="a6"/>
        <w:rPr>
          <w:rFonts w:ascii="Times New Roman" w:hAnsi="Times New Roman" w:cs="Times New Roman"/>
          <w:lang w:val="en-US"/>
        </w:rPr>
      </w:pPr>
      <w:r w:rsidRPr="0037164A">
        <w:rPr>
          <w:rFonts w:ascii="Times New Roman" w:hAnsi="Times New Roman" w:cs="Times New Roman"/>
          <w:vertAlign w:val="superscript"/>
          <w:lang w:val="en-US"/>
        </w:rPr>
        <w:t>1­2</w:t>
      </w:r>
      <w:r w:rsidRPr="0037164A">
        <w:rPr>
          <w:rFonts w:ascii="Times New Roman" w:hAnsi="Times New Roman" w:cs="Times New Roman"/>
          <w:lang w:val="en-US"/>
        </w:rPr>
        <w:t xml:space="preserve">T. N. Unguryanu, </w:t>
      </w:r>
      <w:r w:rsidRPr="0037164A">
        <w:rPr>
          <w:rFonts w:ascii="Times New Roman" w:hAnsi="Times New Roman" w:cs="Times New Roman"/>
          <w:vertAlign w:val="superscript"/>
          <w:lang w:val="en-US"/>
        </w:rPr>
        <w:t>1</w:t>
      </w:r>
      <w:r w:rsidRPr="0037164A">
        <w:rPr>
          <w:rFonts w:ascii="Times New Roman" w:hAnsi="Times New Roman" w:cs="Times New Roman"/>
          <w:lang w:val="en-US"/>
        </w:rPr>
        <w:t xml:space="preserve">A. V. </w:t>
      </w:r>
      <w:proofErr w:type="spellStart"/>
      <w:r w:rsidRPr="0037164A">
        <w:rPr>
          <w:rFonts w:ascii="Times New Roman" w:hAnsi="Times New Roman" w:cs="Times New Roman"/>
          <w:lang w:val="en-US"/>
        </w:rPr>
        <w:t>Kudryavtsev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3</w:t>
      </w:r>
      <w:r w:rsidRPr="0037164A">
        <w:rPr>
          <w:rFonts w:ascii="Times New Roman" w:hAnsi="Times New Roman" w:cs="Times New Roman"/>
          <w:lang w:val="en-US"/>
        </w:rPr>
        <w:t xml:space="preserve">V. G. </w:t>
      </w:r>
      <w:proofErr w:type="spellStart"/>
      <w:r w:rsidRPr="0037164A">
        <w:rPr>
          <w:rFonts w:ascii="Times New Roman" w:hAnsi="Times New Roman" w:cs="Times New Roman"/>
          <w:lang w:val="en-US"/>
        </w:rPr>
        <w:t>Anfimov</w:t>
      </w:r>
      <w:proofErr w:type="spellEnd"/>
      <w:r w:rsidRPr="0037164A">
        <w:rPr>
          <w:rFonts w:ascii="Times New Roman" w:hAnsi="Times New Roman" w:cs="Times New Roman"/>
          <w:lang w:val="en-US"/>
        </w:rPr>
        <w:t xml:space="preserve">, </w:t>
      </w:r>
      <w:r w:rsidRPr="0037164A">
        <w:rPr>
          <w:rFonts w:ascii="Times New Roman" w:hAnsi="Times New Roman" w:cs="Times New Roman"/>
          <w:vertAlign w:val="superscript"/>
          <w:lang w:val="en-US"/>
        </w:rPr>
        <w:t>4</w:t>
      </w:r>
      <w:r w:rsidRPr="0037164A">
        <w:rPr>
          <w:rFonts w:ascii="Times New Roman" w:hAnsi="Times New Roman" w:cs="Times New Roman"/>
          <w:lang w:val="en-US"/>
        </w:rPr>
        <w:t xml:space="preserve">B. </w:t>
      </w:r>
      <w:proofErr w:type="spellStart"/>
      <w:proofErr w:type="gramStart"/>
      <w:r w:rsidRPr="0037164A">
        <w:rPr>
          <w:rFonts w:ascii="Times New Roman" w:hAnsi="Times New Roman" w:cs="Times New Roman"/>
          <w:lang w:val="en-US"/>
        </w:rPr>
        <w:t>Ytterstad</w:t>
      </w:r>
      <w:proofErr w:type="spellEnd"/>
      <w:r w:rsidRPr="0037164A">
        <w:rPr>
          <w:rFonts w:ascii="Times New Roman" w:hAnsi="Times New Roman" w:cs="Times New Roman"/>
          <w:lang w:val="en-US"/>
        </w:rPr>
        <w:t xml:space="preserve">, </w:t>
      </w:r>
      <w:r w:rsidR="00F721BA">
        <w:rPr>
          <w:rFonts w:ascii="Times New Roman" w:hAnsi="Times New Roman" w:cs="Times New Roman"/>
        </w:rPr>
        <w:t xml:space="preserve">                                </w:t>
      </w:r>
      <w:r w:rsidRPr="0037164A">
        <w:rPr>
          <w:rFonts w:ascii="Times New Roman" w:hAnsi="Times New Roman" w:cs="Times New Roman"/>
          <w:vertAlign w:val="superscript"/>
          <w:lang w:val="en-US"/>
        </w:rPr>
        <w:t>1, 5­7</w:t>
      </w:r>
      <w:r w:rsidRPr="0037164A">
        <w:rPr>
          <w:rFonts w:ascii="Times New Roman" w:hAnsi="Times New Roman" w:cs="Times New Roman"/>
          <w:lang w:val="en-US"/>
        </w:rPr>
        <w:t>A.</w:t>
      </w:r>
      <w:proofErr w:type="gramEnd"/>
      <w:r w:rsidRPr="0037164A">
        <w:rPr>
          <w:rFonts w:ascii="Times New Roman" w:hAnsi="Times New Roman" w:cs="Times New Roman"/>
          <w:lang w:val="en-US"/>
        </w:rPr>
        <w:t xml:space="preserve"> M. Grjibovski</w:t>
      </w:r>
    </w:p>
    <w:p w:rsidR="00A237B8" w:rsidRPr="0037164A" w:rsidRDefault="00A237B8" w:rsidP="00A237B8">
      <w:pPr>
        <w:pStyle w:val="a7"/>
        <w:rPr>
          <w:rFonts w:ascii="Times New Roman" w:hAnsi="Times New Roman" w:cs="Times New Roman"/>
          <w:sz w:val="24"/>
          <w:szCs w:val="24"/>
          <w:lang w:val="en-US"/>
        </w:rPr>
      </w:pPr>
      <w:r w:rsidRPr="0037164A">
        <w:rPr>
          <w:rFonts w:ascii="Times New Roman" w:hAnsi="Times New Roman" w:cs="Times New Roman"/>
          <w:sz w:val="24"/>
          <w:szCs w:val="24"/>
          <w:vertAlign w:val="superscript"/>
          <w:lang w:val="en-US"/>
        </w:rPr>
        <w:t>2</w:t>
      </w:r>
      <w:r w:rsidRPr="0037164A">
        <w:rPr>
          <w:rFonts w:ascii="Times New Roman" w:hAnsi="Times New Roman" w:cs="Times New Roman"/>
          <w:sz w:val="24"/>
          <w:szCs w:val="24"/>
          <w:lang w:val="en-US"/>
        </w:rPr>
        <w:t xml:space="preserve">Arctic University of Norway, </w:t>
      </w:r>
      <w:proofErr w:type="spellStart"/>
      <w:r w:rsidRPr="0037164A">
        <w:rPr>
          <w:rFonts w:ascii="Times New Roman" w:hAnsi="Times New Roman" w:cs="Times New Roman"/>
          <w:sz w:val="24"/>
          <w:szCs w:val="24"/>
          <w:lang w:val="en-US"/>
        </w:rPr>
        <w:t>Troms</w:t>
      </w:r>
      <w:r w:rsidRPr="0037164A">
        <w:rPr>
          <w:rFonts w:ascii="Times New Roman" w:hAnsi="Times New Roman" w:cs="Times New Roman"/>
          <w:b w:val="0"/>
          <w:bCs w:val="0"/>
          <w:sz w:val="24"/>
          <w:szCs w:val="24"/>
          <w:lang w:val="en-US"/>
        </w:rPr>
        <w:t>ø</w:t>
      </w:r>
      <w:proofErr w:type="spellEnd"/>
      <w:r w:rsidRPr="0037164A">
        <w:rPr>
          <w:rFonts w:ascii="Times New Roman" w:hAnsi="Times New Roman" w:cs="Times New Roman"/>
          <w:sz w:val="24"/>
          <w:szCs w:val="24"/>
          <w:lang w:val="en-US"/>
        </w:rPr>
        <w:t xml:space="preserve">, Norway; </w:t>
      </w:r>
      <w:r w:rsidRPr="0037164A">
        <w:rPr>
          <w:rFonts w:ascii="Times New Roman" w:hAnsi="Times New Roman" w:cs="Times New Roman"/>
          <w:sz w:val="24"/>
          <w:szCs w:val="24"/>
          <w:vertAlign w:val="superscript"/>
          <w:lang w:val="en-US"/>
        </w:rPr>
        <w:t>1</w:t>
      </w:r>
      <w:r w:rsidRPr="0037164A">
        <w:rPr>
          <w:rFonts w:ascii="Times New Roman" w:hAnsi="Times New Roman" w:cs="Times New Roman"/>
          <w:sz w:val="24"/>
          <w:szCs w:val="24"/>
          <w:lang w:val="en-US"/>
        </w:rPr>
        <w:t xml:space="preserve">Northern State Medical University, Arkhangelsk, Russia; </w:t>
      </w:r>
      <w:r w:rsidRPr="0037164A">
        <w:rPr>
          <w:rFonts w:ascii="Times New Roman" w:hAnsi="Times New Roman" w:cs="Times New Roman"/>
          <w:sz w:val="24"/>
          <w:szCs w:val="24"/>
          <w:vertAlign w:val="superscript"/>
          <w:lang w:val="en-US"/>
        </w:rPr>
        <w:t>3</w:t>
      </w:r>
      <w:r w:rsidRPr="0037164A">
        <w:rPr>
          <w:rFonts w:ascii="Times New Roman" w:hAnsi="Times New Roman" w:cs="Times New Roman"/>
          <w:sz w:val="24"/>
          <w:szCs w:val="24"/>
          <w:lang w:val="en-US"/>
        </w:rPr>
        <w:t xml:space="preserve">Shenkursk District Hospital named after N.N. </w:t>
      </w:r>
      <w:proofErr w:type="spellStart"/>
      <w:r w:rsidRPr="0037164A">
        <w:rPr>
          <w:rFonts w:ascii="Times New Roman" w:hAnsi="Times New Roman" w:cs="Times New Roman"/>
          <w:sz w:val="24"/>
          <w:szCs w:val="24"/>
          <w:lang w:val="en-US"/>
        </w:rPr>
        <w:t>Priorov</w:t>
      </w:r>
      <w:proofErr w:type="spellEnd"/>
      <w:r w:rsidRPr="0037164A">
        <w:rPr>
          <w:rFonts w:ascii="Times New Roman" w:hAnsi="Times New Roman" w:cs="Times New Roman"/>
          <w:sz w:val="24"/>
          <w:szCs w:val="24"/>
          <w:lang w:val="en-US"/>
        </w:rPr>
        <w:t xml:space="preserve">, </w:t>
      </w:r>
      <w:proofErr w:type="spellStart"/>
      <w:r w:rsidRPr="0037164A">
        <w:rPr>
          <w:rFonts w:ascii="Times New Roman" w:hAnsi="Times New Roman" w:cs="Times New Roman"/>
          <w:sz w:val="24"/>
          <w:szCs w:val="24"/>
          <w:lang w:val="en-US"/>
        </w:rPr>
        <w:t>Shenkursk</w:t>
      </w:r>
      <w:proofErr w:type="spellEnd"/>
      <w:r w:rsidRPr="0037164A">
        <w:rPr>
          <w:rFonts w:ascii="Times New Roman" w:hAnsi="Times New Roman" w:cs="Times New Roman"/>
          <w:sz w:val="24"/>
          <w:szCs w:val="24"/>
          <w:lang w:val="en-US"/>
        </w:rPr>
        <w:t xml:space="preserve">, Russia; </w:t>
      </w:r>
      <w:r w:rsidRPr="0037164A">
        <w:rPr>
          <w:rFonts w:ascii="Times New Roman" w:hAnsi="Times New Roman" w:cs="Times New Roman"/>
          <w:sz w:val="24"/>
          <w:szCs w:val="24"/>
          <w:vertAlign w:val="superscript"/>
          <w:lang w:val="en-US"/>
        </w:rPr>
        <w:t>4</w:t>
      </w:r>
      <w:r w:rsidRPr="0037164A">
        <w:rPr>
          <w:rFonts w:ascii="Times New Roman" w:hAnsi="Times New Roman" w:cs="Times New Roman"/>
          <w:sz w:val="24"/>
          <w:szCs w:val="24"/>
          <w:lang w:val="en-US"/>
        </w:rPr>
        <w:t xml:space="preserve">University Hospital of Northern Norway, </w:t>
      </w:r>
      <w:proofErr w:type="spellStart"/>
      <w:r w:rsidRPr="0037164A">
        <w:rPr>
          <w:rFonts w:ascii="Times New Roman" w:hAnsi="Times New Roman" w:cs="Times New Roman"/>
          <w:sz w:val="24"/>
          <w:szCs w:val="24"/>
          <w:lang w:val="en-US"/>
        </w:rPr>
        <w:t>Harstad</w:t>
      </w:r>
      <w:proofErr w:type="spellEnd"/>
      <w:r w:rsidRPr="0037164A">
        <w:rPr>
          <w:rFonts w:ascii="Times New Roman" w:hAnsi="Times New Roman" w:cs="Times New Roman"/>
          <w:sz w:val="24"/>
          <w:szCs w:val="24"/>
          <w:lang w:val="en-US"/>
        </w:rPr>
        <w:t xml:space="preserve">, Norway; </w:t>
      </w:r>
      <w:r w:rsidRPr="0037164A">
        <w:rPr>
          <w:rFonts w:ascii="Times New Roman" w:hAnsi="Times New Roman" w:cs="Times New Roman"/>
          <w:sz w:val="24"/>
          <w:szCs w:val="24"/>
          <w:vertAlign w:val="superscript"/>
          <w:lang w:val="en-US"/>
        </w:rPr>
        <w:t>5</w:t>
      </w:r>
      <w:r w:rsidRPr="0037164A">
        <w:rPr>
          <w:rFonts w:ascii="Times New Roman" w:hAnsi="Times New Roman" w:cs="Times New Roman"/>
          <w:sz w:val="24"/>
          <w:szCs w:val="24"/>
          <w:lang w:val="en-US"/>
        </w:rPr>
        <w:t xml:space="preserve">Norwegian Institute of Public Health, Oslo, Norway; </w:t>
      </w:r>
      <w:r w:rsidRPr="0037164A">
        <w:rPr>
          <w:rFonts w:ascii="Times New Roman" w:hAnsi="Times New Roman" w:cs="Times New Roman"/>
          <w:sz w:val="24"/>
          <w:szCs w:val="24"/>
          <w:vertAlign w:val="superscript"/>
          <w:lang w:val="en-US"/>
        </w:rPr>
        <w:t>6</w:t>
      </w:r>
      <w:r w:rsidRPr="0037164A">
        <w:rPr>
          <w:rFonts w:ascii="Times New Roman" w:hAnsi="Times New Roman" w:cs="Times New Roman"/>
          <w:sz w:val="24"/>
          <w:szCs w:val="24"/>
          <w:lang w:val="en-US"/>
        </w:rPr>
        <w:t xml:space="preserve">North­Eastern Federal University, Yakutsk, Russia; </w:t>
      </w:r>
      <w:r w:rsidRPr="0037164A">
        <w:rPr>
          <w:rFonts w:ascii="Times New Roman" w:hAnsi="Times New Roman" w:cs="Times New Roman"/>
          <w:sz w:val="24"/>
          <w:szCs w:val="24"/>
          <w:vertAlign w:val="superscript"/>
          <w:lang w:val="en-US"/>
        </w:rPr>
        <w:t>7</w:t>
      </w:r>
      <w:r w:rsidRPr="0037164A">
        <w:rPr>
          <w:rFonts w:ascii="Times New Roman" w:hAnsi="Times New Roman" w:cs="Times New Roman"/>
          <w:sz w:val="24"/>
          <w:szCs w:val="24"/>
          <w:lang w:val="en-US"/>
        </w:rPr>
        <w:t xml:space="preserve">International </w:t>
      </w:r>
      <w:proofErr w:type="spellStart"/>
      <w:r w:rsidRPr="0037164A">
        <w:rPr>
          <w:rFonts w:ascii="Times New Roman" w:hAnsi="Times New Roman" w:cs="Times New Roman"/>
          <w:sz w:val="24"/>
          <w:szCs w:val="24"/>
          <w:lang w:val="en-US"/>
        </w:rPr>
        <w:t>Kazakh­Turkish</w:t>
      </w:r>
      <w:proofErr w:type="spellEnd"/>
      <w:r w:rsidRPr="0037164A">
        <w:rPr>
          <w:rFonts w:ascii="Times New Roman" w:hAnsi="Times New Roman" w:cs="Times New Roman"/>
          <w:sz w:val="24"/>
          <w:szCs w:val="24"/>
          <w:lang w:val="en-US"/>
        </w:rPr>
        <w:t xml:space="preserve"> University, Turkestan, Kazakhstan</w:t>
      </w:r>
    </w:p>
    <w:p w:rsidR="00A237B8" w:rsidRPr="0037164A" w:rsidRDefault="00A237B8" w:rsidP="00A237B8">
      <w:pPr>
        <w:pStyle w:val="a8"/>
        <w:rPr>
          <w:rFonts w:ascii="Times New Roman" w:hAnsi="Times New Roman" w:cs="Times New Roman"/>
          <w:sz w:val="24"/>
          <w:szCs w:val="24"/>
          <w:lang w:val="en-US"/>
        </w:rPr>
      </w:pP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sz w:val="24"/>
          <w:szCs w:val="24"/>
          <w:lang w:val="en-US"/>
        </w:rPr>
        <w:t xml:space="preserve">From 1 January 2015, the first Russian </w:t>
      </w:r>
      <w:proofErr w:type="spellStart"/>
      <w:r w:rsidRPr="0037164A">
        <w:rPr>
          <w:rFonts w:ascii="Times New Roman" w:hAnsi="Times New Roman" w:cs="Times New Roman"/>
          <w:sz w:val="24"/>
          <w:szCs w:val="24"/>
          <w:lang w:val="en-US"/>
        </w:rPr>
        <w:t>population­based</w:t>
      </w:r>
      <w:proofErr w:type="spellEnd"/>
      <w:r w:rsidRPr="0037164A">
        <w:rPr>
          <w:rFonts w:ascii="Times New Roman" w:hAnsi="Times New Roman" w:cs="Times New Roman"/>
          <w:sz w:val="24"/>
          <w:szCs w:val="24"/>
          <w:lang w:val="en-US"/>
        </w:rPr>
        <w:t xml:space="preserve"> injury register has been routinely used for registration of all traumas requiring medical assistance in the municipality of </w:t>
      </w:r>
      <w:proofErr w:type="spellStart"/>
      <w:r w:rsidRPr="0037164A">
        <w:rPr>
          <w:rFonts w:ascii="Times New Roman" w:hAnsi="Times New Roman" w:cs="Times New Roman"/>
          <w:sz w:val="24"/>
          <w:szCs w:val="24"/>
          <w:lang w:val="en-US"/>
        </w:rPr>
        <w:t>Shenkursk</w:t>
      </w:r>
      <w:proofErr w:type="spellEnd"/>
      <w:r w:rsidRPr="0037164A">
        <w:rPr>
          <w:rFonts w:ascii="Times New Roman" w:hAnsi="Times New Roman" w:cs="Times New Roman"/>
          <w:sz w:val="24"/>
          <w:szCs w:val="24"/>
          <w:lang w:val="en-US"/>
        </w:rPr>
        <w:t xml:space="preserve">, Arkhangelsk region. It was built up on the injury registration model that was used in </w:t>
      </w:r>
      <w:proofErr w:type="spellStart"/>
      <w:r w:rsidRPr="0037164A">
        <w:rPr>
          <w:rFonts w:ascii="Times New Roman" w:hAnsi="Times New Roman" w:cs="Times New Roman"/>
          <w:sz w:val="24"/>
          <w:szCs w:val="24"/>
          <w:lang w:val="en-US"/>
        </w:rPr>
        <w:t>Harstad</w:t>
      </w:r>
      <w:proofErr w:type="spellEnd"/>
      <w:r w:rsidRPr="0037164A">
        <w:rPr>
          <w:rFonts w:ascii="Times New Roman" w:hAnsi="Times New Roman" w:cs="Times New Roman"/>
          <w:sz w:val="24"/>
          <w:szCs w:val="24"/>
          <w:lang w:val="en-US"/>
        </w:rPr>
        <w:t xml:space="preserve">, Norway. The aims of the injury registry are to monitor injury rates and develop </w:t>
      </w:r>
      <w:proofErr w:type="spellStart"/>
      <w:r w:rsidRPr="0037164A">
        <w:rPr>
          <w:rFonts w:ascii="Times New Roman" w:hAnsi="Times New Roman" w:cs="Times New Roman"/>
          <w:sz w:val="24"/>
          <w:szCs w:val="24"/>
          <w:lang w:val="en-US"/>
        </w:rPr>
        <w:t>evidence­based</w:t>
      </w:r>
      <w:proofErr w:type="spellEnd"/>
      <w:r w:rsidRPr="0037164A">
        <w:rPr>
          <w:rFonts w:ascii="Times New Roman" w:hAnsi="Times New Roman" w:cs="Times New Roman"/>
          <w:sz w:val="24"/>
          <w:szCs w:val="24"/>
          <w:lang w:val="en-US"/>
        </w:rPr>
        <w:t xml:space="preserve"> preventive measures at the municipal level. The source of information about injures is an injury registration form which includes sections on type, place, time, preceding circumstances, mechanisms of accident, mechanisms of injury, alcohol consumption and </w:t>
      </w:r>
      <w:proofErr w:type="spellStart"/>
      <w:r w:rsidRPr="0037164A">
        <w:rPr>
          <w:rFonts w:ascii="Times New Roman" w:hAnsi="Times New Roman" w:cs="Times New Roman"/>
          <w:sz w:val="24"/>
          <w:szCs w:val="24"/>
          <w:lang w:val="en-US"/>
        </w:rPr>
        <w:t>socio­demographic</w:t>
      </w:r>
      <w:proofErr w:type="spellEnd"/>
      <w:r w:rsidRPr="0037164A">
        <w:rPr>
          <w:rFonts w:ascii="Times New Roman" w:hAnsi="Times New Roman" w:cs="Times New Roman"/>
          <w:sz w:val="24"/>
          <w:szCs w:val="24"/>
          <w:lang w:val="en-US"/>
        </w:rPr>
        <w:t xml:space="preserve"> characteristics of the injured. Inclusion criteria of the injury register are the ICD­10 codes S00­</w:t>
      </w:r>
      <w:r w:rsidRPr="0037164A">
        <w:rPr>
          <w:rFonts w:ascii="Times New Roman" w:hAnsi="Times New Roman" w:cs="Times New Roman"/>
          <w:sz w:val="24"/>
          <w:szCs w:val="24"/>
        </w:rPr>
        <w:t>Т</w:t>
      </w:r>
      <w:r w:rsidRPr="0037164A">
        <w:rPr>
          <w:rFonts w:ascii="Times New Roman" w:hAnsi="Times New Roman" w:cs="Times New Roman"/>
          <w:sz w:val="24"/>
          <w:szCs w:val="24"/>
          <w:lang w:val="en-US"/>
        </w:rPr>
        <w:t xml:space="preserve">78. Data registration is performed using </w:t>
      </w:r>
      <w:proofErr w:type="spellStart"/>
      <w:r w:rsidRPr="0037164A">
        <w:rPr>
          <w:rFonts w:ascii="Times New Roman" w:hAnsi="Times New Roman" w:cs="Times New Roman"/>
          <w:sz w:val="24"/>
          <w:szCs w:val="24"/>
          <w:lang w:val="en-US"/>
        </w:rPr>
        <w:t>EpiInfo</w:t>
      </w:r>
      <w:proofErr w:type="spellEnd"/>
      <w:r w:rsidRPr="0037164A">
        <w:rPr>
          <w:rFonts w:ascii="Times New Roman" w:hAnsi="Times New Roman" w:cs="Times New Roman"/>
          <w:sz w:val="24"/>
          <w:szCs w:val="24"/>
          <w:lang w:val="en-US"/>
        </w:rPr>
        <w:t xml:space="preserve"> 7 platform. Introduction of the injury register allows to observe, forecast and minimize the harm caused by injuries on a population level as well as to increase knowledge about factors contributing to the burden of injuries Identifying removable and modifiable factors which act as parts of mechanisms of </w:t>
      </w:r>
      <w:r w:rsidRPr="0037164A">
        <w:rPr>
          <w:rFonts w:ascii="Times New Roman" w:hAnsi="Times New Roman" w:cs="Times New Roman"/>
          <w:sz w:val="24"/>
          <w:szCs w:val="24"/>
          <w:lang w:val="en-US"/>
        </w:rPr>
        <w:lastRenderedPageBreak/>
        <w:t xml:space="preserve">accidents and injuries allows development of targeted preventive measures to decrease the burden of injuries among the population of the </w:t>
      </w:r>
      <w:proofErr w:type="spellStart"/>
      <w:r w:rsidRPr="0037164A">
        <w:rPr>
          <w:rFonts w:ascii="Times New Roman" w:hAnsi="Times New Roman" w:cs="Times New Roman"/>
          <w:sz w:val="24"/>
          <w:szCs w:val="24"/>
          <w:lang w:val="en-US"/>
        </w:rPr>
        <w:t>Shenkursk</w:t>
      </w:r>
      <w:proofErr w:type="spellEnd"/>
      <w:r w:rsidRPr="0037164A">
        <w:rPr>
          <w:rFonts w:ascii="Times New Roman" w:hAnsi="Times New Roman" w:cs="Times New Roman"/>
          <w:sz w:val="24"/>
          <w:szCs w:val="24"/>
          <w:lang w:val="en-US"/>
        </w:rPr>
        <w:t xml:space="preserve"> district.</w:t>
      </w:r>
    </w:p>
    <w:p w:rsidR="00A237B8" w:rsidRPr="0037164A" w:rsidRDefault="00A237B8" w:rsidP="00A237B8">
      <w:pPr>
        <w:pStyle w:val="a8"/>
        <w:rPr>
          <w:rFonts w:ascii="Times New Roman" w:hAnsi="Times New Roman" w:cs="Times New Roman"/>
          <w:sz w:val="24"/>
          <w:szCs w:val="24"/>
          <w:lang w:val="en-US"/>
        </w:rPr>
      </w:pPr>
      <w:r w:rsidRPr="0037164A">
        <w:rPr>
          <w:rFonts w:ascii="Times New Roman" w:hAnsi="Times New Roman" w:cs="Times New Roman"/>
          <w:b/>
          <w:bCs/>
          <w:sz w:val="24"/>
          <w:szCs w:val="24"/>
          <w:lang w:val="en-US"/>
        </w:rPr>
        <w:t>Key words:</w:t>
      </w:r>
      <w:r w:rsidRPr="0037164A">
        <w:rPr>
          <w:rFonts w:ascii="Times New Roman" w:hAnsi="Times New Roman" w:cs="Times New Roman"/>
          <w:sz w:val="24"/>
          <w:szCs w:val="24"/>
          <w:lang w:val="en-US"/>
        </w:rPr>
        <w:t xml:space="preserve"> injuries, register, </w:t>
      </w:r>
      <w:proofErr w:type="spellStart"/>
      <w:r w:rsidRPr="0037164A">
        <w:rPr>
          <w:rFonts w:ascii="Times New Roman" w:hAnsi="Times New Roman" w:cs="Times New Roman"/>
          <w:sz w:val="24"/>
          <w:szCs w:val="24"/>
          <w:lang w:val="en-US"/>
        </w:rPr>
        <w:t>Shenkursk</w:t>
      </w:r>
      <w:proofErr w:type="spellEnd"/>
      <w:r w:rsidRPr="0037164A">
        <w:rPr>
          <w:rFonts w:ascii="Times New Roman" w:hAnsi="Times New Roman" w:cs="Times New Roman"/>
          <w:sz w:val="24"/>
          <w:szCs w:val="24"/>
          <w:lang w:val="en-US"/>
        </w:rPr>
        <w:t>, prevention</w:t>
      </w:r>
    </w:p>
    <w:p w:rsidR="00A237B8" w:rsidRPr="0037164A" w:rsidRDefault="00A237B8" w:rsidP="00A237B8">
      <w:pPr>
        <w:pStyle w:val="a8"/>
        <w:rPr>
          <w:rFonts w:ascii="Times New Roman" w:hAnsi="Times New Roman" w:cs="Times New Roman"/>
          <w:sz w:val="24"/>
          <w:szCs w:val="24"/>
          <w:lang w:val="en-US"/>
        </w:rPr>
      </w:pPr>
    </w:p>
    <w:sectPr w:rsidR="00A237B8" w:rsidRPr="0037164A" w:rsidSect="00C30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37B8"/>
    <w:rsid w:val="0037164A"/>
    <w:rsid w:val="006A3096"/>
    <w:rsid w:val="009B359A"/>
    <w:rsid w:val="00A237B8"/>
    <w:rsid w:val="00C303B1"/>
    <w:rsid w:val="00E53EBB"/>
    <w:rsid w:val="00F72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A237B8"/>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A237B8"/>
    <w:pPr>
      <w:spacing w:after="113"/>
      <w:ind w:firstLine="0"/>
    </w:pPr>
    <w:rPr>
      <w:sz w:val="18"/>
      <w:szCs w:val="18"/>
    </w:rPr>
  </w:style>
  <w:style w:type="paragraph" w:customStyle="1" w:styleId="a5">
    <w:name w:val="ЗАГОЛОВОК"/>
    <w:basedOn w:val="a"/>
    <w:uiPriority w:val="99"/>
    <w:rsid w:val="00A237B8"/>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A237B8"/>
    <w:pPr>
      <w:suppressAutoHyphens w:val="0"/>
    </w:pPr>
    <w:rPr>
      <w:rFonts w:ascii="OfficinaSansC" w:hAnsi="OfficinaSansC" w:cs="OfficinaSansC"/>
      <w:b/>
      <w:bCs/>
      <w:caps w:val="0"/>
      <w:sz w:val="24"/>
      <w:szCs w:val="24"/>
    </w:rPr>
  </w:style>
  <w:style w:type="paragraph" w:customStyle="1" w:styleId="a7">
    <w:name w:val="ГОРОД"/>
    <w:basedOn w:val="a6"/>
    <w:uiPriority w:val="99"/>
    <w:rsid w:val="00A237B8"/>
    <w:pPr>
      <w:spacing w:after="0"/>
    </w:pPr>
    <w:rPr>
      <w:w w:val="90"/>
      <w:sz w:val="22"/>
      <w:szCs w:val="22"/>
    </w:rPr>
  </w:style>
  <w:style w:type="paragraph" w:customStyle="1" w:styleId="a8">
    <w:name w:val="РЕЗЮМЕ"/>
    <w:basedOn w:val="a3"/>
    <w:uiPriority w:val="99"/>
    <w:rsid w:val="00A237B8"/>
    <w:rPr>
      <w:rFonts w:ascii="OfficinaSansC" w:hAnsi="OfficinaSansC" w:cs="OfficinaSansC"/>
      <w:w w:val="95"/>
      <w:sz w:val="18"/>
      <w:szCs w:val="18"/>
    </w:rPr>
  </w:style>
  <w:style w:type="paragraph" w:customStyle="1" w:styleId="a9">
    <w:name w:val="АВТОР АНГЛ"/>
    <w:basedOn w:val="a6"/>
    <w:uiPriority w:val="99"/>
    <w:rsid w:val="00A237B8"/>
    <w:pPr>
      <w:spacing w:line="288" w:lineRule="atLeast"/>
    </w:pPr>
  </w:style>
  <w:style w:type="paragraph" w:customStyle="1" w:styleId="aa">
    <w:name w:val="КОНТАКТНАЯ ИНФОРМАЦИЯ"/>
    <w:basedOn w:val="a"/>
    <w:uiPriority w:val="99"/>
    <w:rsid w:val="00A237B8"/>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A237B8"/>
    <w:rPr>
      <w:sz w:val="18"/>
      <w:szCs w:val="18"/>
    </w:rPr>
  </w:style>
  <w:style w:type="character" w:styleId="ac">
    <w:name w:val="Hyperlink"/>
    <w:basedOn w:val="a0"/>
    <w:uiPriority w:val="99"/>
    <w:unhideWhenUsed/>
    <w:rsid w:val="00A237B8"/>
    <w:rPr>
      <w:color w:val="0000FF" w:themeColor="hyperlink"/>
      <w:u w:val="single"/>
    </w:rPr>
  </w:style>
  <w:style w:type="paragraph" w:customStyle="1" w:styleId="ad">
    <w:name w:val="[Основной абзац]"/>
    <w:basedOn w:val="a"/>
    <w:uiPriority w:val="99"/>
    <w:rsid w:val="00A237B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2445</Words>
  <Characters>16749</Characters>
  <Application>Microsoft Office Word</Application>
  <DocSecurity>0</DocSecurity>
  <Lines>669</Lines>
  <Paragraphs>399</Paragraphs>
  <ScaleCrop>false</ScaleCrop>
  <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2017-02-22T07:51:00Z</dcterms:created>
  <dcterms:modified xsi:type="dcterms:W3CDTF">2017-03-02T08:45:00Z</dcterms:modified>
</cp:coreProperties>
</file>